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B8D" w:rsidRPr="006E503B" w:rsidRDefault="0004647E" w:rsidP="00F34CF1">
      <w:pPr>
        <w:pStyle w:val="Bezriadkovania"/>
        <w:jc w:val="center"/>
        <w:rPr>
          <w:b/>
        </w:rPr>
      </w:pPr>
      <w:r w:rsidRPr="006E503B">
        <w:rPr>
          <w:b/>
        </w:rPr>
        <w:t>Pripomienky a návrhy doručené z vysokých škôl k</w:t>
      </w:r>
    </w:p>
    <w:p w:rsidR="00CD08E1" w:rsidRPr="006E503B" w:rsidRDefault="0004647E" w:rsidP="00CD08E1">
      <w:pPr>
        <w:pStyle w:val="Bezriadkovania"/>
        <w:jc w:val="center"/>
        <w:rPr>
          <w:b/>
        </w:rPr>
      </w:pPr>
      <w:r w:rsidRPr="006E503B">
        <w:rPr>
          <w:b/>
        </w:rPr>
        <w:t xml:space="preserve">Návrhu metodiky dotácií zo štátneho rozpočtu verejným vysokým školám na rok 2016 a </w:t>
      </w:r>
    </w:p>
    <w:p w:rsidR="0004647E" w:rsidRPr="006E503B" w:rsidRDefault="0004647E" w:rsidP="00CD08E1">
      <w:pPr>
        <w:pStyle w:val="Bezriadkovania"/>
        <w:jc w:val="center"/>
        <w:rPr>
          <w:b/>
        </w:rPr>
      </w:pPr>
      <w:r w:rsidRPr="006E503B">
        <w:rPr>
          <w:b/>
        </w:rPr>
        <w:t>návrh</w:t>
      </w:r>
      <w:r w:rsidR="00CD08E1" w:rsidRPr="006E503B">
        <w:rPr>
          <w:b/>
        </w:rPr>
        <w:t>u</w:t>
      </w:r>
      <w:r w:rsidRPr="006E503B">
        <w:rPr>
          <w:b/>
        </w:rPr>
        <w:t xml:space="preserve"> rozpisu dotácií zo štátneho rozpočtu na rok 2016</w:t>
      </w:r>
    </w:p>
    <w:p w:rsidR="0004647E" w:rsidRPr="006E503B" w:rsidRDefault="0004647E" w:rsidP="0004647E">
      <w:pPr>
        <w:pStyle w:val="Bezriadkovania"/>
      </w:pPr>
    </w:p>
    <w:p w:rsidR="0004647E" w:rsidRPr="006E503B" w:rsidRDefault="0004647E" w:rsidP="0004647E">
      <w:pPr>
        <w:pStyle w:val="Bezriadkovania"/>
        <w:rPr>
          <w:color w:val="FF0000"/>
        </w:rPr>
      </w:pPr>
      <w:r w:rsidRPr="006E503B">
        <w:rPr>
          <w:color w:val="FF0000"/>
        </w:rPr>
        <w:t>Predložili: TUAD, UPJŠ, PU, EU, TRUNI, TUKE, UCM</w:t>
      </w:r>
      <w:r w:rsidR="00CD08E1" w:rsidRPr="006E503B">
        <w:rPr>
          <w:color w:val="FF0000"/>
        </w:rPr>
        <w:t>.</w:t>
      </w:r>
    </w:p>
    <w:p w:rsidR="0004647E" w:rsidRPr="006E503B" w:rsidRDefault="0004647E" w:rsidP="0004647E">
      <w:pPr>
        <w:pStyle w:val="Bezriadkovania"/>
      </w:pPr>
    </w:p>
    <w:p w:rsidR="00CD08E1" w:rsidRPr="006E503B" w:rsidRDefault="0004647E" w:rsidP="0004647E">
      <w:pPr>
        <w:spacing w:after="0" w:line="240" w:lineRule="auto"/>
        <w:jc w:val="both"/>
        <w:rPr>
          <w:rFonts w:cs="Arial"/>
          <w:b/>
        </w:rPr>
      </w:pPr>
      <w:r w:rsidRPr="006E503B">
        <w:rPr>
          <w:rFonts w:cs="Arial"/>
          <w:b/>
        </w:rPr>
        <w:t>Bod 1</w:t>
      </w:r>
      <w:r w:rsidR="00CD08E1" w:rsidRPr="006E503B">
        <w:rPr>
          <w:rFonts w:cs="Arial"/>
          <w:b/>
        </w:rPr>
        <w:t xml:space="preserve"> Celkový objem finančných prostriedkov pre vysoké školy na rok 2016 a ich štruktúra</w:t>
      </w:r>
    </w:p>
    <w:p w:rsidR="00CD08E1" w:rsidRPr="006E503B" w:rsidRDefault="00CD08E1" w:rsidP="00CD08E1">
      <w:pPr>
        <w:pStyle w:val="Default"/>
        <w:rPr>
          <w:rFonts w:asciiTheme="minorHAnsi" w:hAnsiTheme="minorHAnsi"/>
          <w:sz w:val="22"/>
          <w:szCs w:val="22"/>
          <w:u w:val="single"/>
        </w:rPr>
      </w:pPr>
      <w:r w:rsidRPr="006E503B">
        <w:rPr>
          <w:rFonts w:asciiTheme="minorHAnsi" w:hAnsiTheme="minorHAnsi" w:cs="Arial"/>
          <w:sz w:val="22"/>
          <w:szCs w:val="22"/>
          <w:u w:val="single"/>
        </w:rPr>
        <w:t>Predkladá: Ekonomická univerzita v Bratislave</w:t>
      </w:r>
    </w:p>
    <w:p w:rsidR="00CD08E1" w:rsidRPr="006E503B" w:rsidRDefault="00CD08E1" w:rsidP="00CD08E1">
      <w:pPr>
        <w:pStyle w:val="Default"/>
        <w:rPr>
          <w:rFonts w:asciiTheme="minorHAnsi" w:hAnsiTheme="minorHAnsi"/>
          <w:sz w:val="22"/>
          <w:szCs w:val="22"/>
        </w:rPr>
      </w:pPr>
      <w:r w:rsidRPr="006E503B">
        <w:rPr>
          <w:rFonts w:asciiTheme="minorHAnsi" w:hAnsiTheme="minorHAnsi"/>
          <w:sz w:val="22"/>
          <w:szCs w:val="22"/>
        </w:rPr>
        <w:t xml:space="preserve"> Ods. (7) – str. 2 metodiky: </w:t>
      </w:r>
    </w:p>
    <w:p w:rsidR="002C114A" w:rsidRPr="006E503B" w:rsidRDefault="00CD08E1" w:rsidP="002C114A">
      <w:pPr>
        <w:spacing w:after="0" w:line="240" w:lineRule="auto"/>
        <w:jc w:val="both"/>
      </w:pPr>
      <w:r w:rsidRPr="006E503B">
        <w:rPr>
          <w:i/>
        </w:rPr>
        <w:t>„Celkové výdavky programu 077 Vysokoškolské vzdelávanie a veda, sociálna podpora študentov vysokých škôl sú 462 032 666 Eur. Na transfer VŠ sa navrhuje z tejto čiastky použiť 97,66 %.“</w:t>
      </w:r>
      <w:r w:rsidRPr="006E503B">
        <w:t xml:space="preserve"> Prosíme podrobnejšie vysvetliť použitie zvyšnej časti, ktorá je vo výške 10 796 746 Eur. </w:t>
      </w:r>
      <w:r w:rsidR="00183A73" w:rsidRPr="006E503B">
        <w:rPr>
          <w:b/>
          <w:i/>
        </w:rPr>
        <w:t xml:space="preserve">Návrh: </w:t>
      </w:r>
      <w:r w:rsidRPr="006E503B">
        <w:rPr>
          <w:b/>
          <w:i/>
        </w:rPr>
        <w:t>V tejto súvislosti navrhujeme zvýšiť percento určené vysokým školám.</w:t>
      </w:r>
      <w:r w:rsidR="002C114A" w:rsidRPr="006E503B">
        <w:t xml:space="preserve"> </w:t>
      </w:r>
    </w:p>
    <w:p w:rsidR="002C114A" w:rsidRPr="006E503B" w:rsidRDefault="002C114A" w:rsidP="00CD08E1">
      <w:pPr>
        <w:spacing w:after="0" w:line="240" w:lineRule="auto"/>
        <w:jc w:val="both"/>
        <w:rPr>
          <w:b/>
          <w:i/>
        </w:rPr>
      </w:pPr>
    </w:p>
    <w:p w:rsidR="006E503B" w:rsidRPr="006E503B" w:rsidRDefault="006E503B" w:rsidP="006E503B">
      <w:pPr>
        <w:pStyle w:val="Default"/>
        <w:rPr>
          <w:rFonts w:asciiTheme="minorHAnsi" w:hAnsiTheme="minorHAnsi"/>
          <w:b/>
          <w:sz w:val="22"/>
          <w:szCs w:val="22"/>
        </w:rPr>
      </w:pPr>
      <w:r w:rsidRPr="006E503B">
        <w:rPr>
          <w:rFonts w:asciiTheme="minorHAnsi" w:hAnsiTheme="minorHAnsi"/>
          <w:b/>
          <w:sz w:val="22"/>
          <w:szCs w:val="22"/>
        </w:rPr>
        <w:t xml:space="preserve">Bod </w:t>
      </w:r>
      <w:r w:rsidR="00EA1D03">
        <w:rPr>
          <w:rFonts w:asciiTheme="minorHAnsi" w:hAnsiTheme="minorHAnsi"/>
          <w:b/>
          <w:sz w:val="22"/>
          <w:szCs w:val="22"/>
        </w:rPr>
        <w:t xml:space="preserve">2 </w:t>
      </w:r>
      <w:r w:rsidRPr="006E503B">
        <w:rPr>
          <w:rFonts w:asciiTheme="minorHAnsi" w:hAnsiTheme="minorHAnsi"/>
          <w:b/>
          <w:sz w:val="22"/>
          <w:szCs w:val="22"/>
        </w:rPr>
        <w:t>Východiská</w:t>
      </w:r>
    </w:p>
    <w:p w:rsidR="006E503B" w:rsidRPr="006E503B" w:rsidRDefault="006E503B" w:rsidP="006E503B">
      <w:pPr>
        <w:pStyle w:val="Default"/>
        <w:rPr>
          <w:rFonts w:asciiTheme="minorHAnsi" w:hAnsiTheme="minorHAnsi"/>
          <w:sz w:val="22"/>
          <w:szCs w:val="22"/>
          <w:u w:val="single"/>
        </w:rPr>
      </w:pPr>
      <w:r w:rsidRPr="006E503B">
        <w:rPr>
          <w:rFonts w:asciiTheme="minorHAnsi" w:hAnsiTheme="minorHAnsi" w:cs="Arial"/>
          <w:sz w:val="22"/>
          <w:szCs w:val="22"/>
          <w:u w:val="single"/>
        </w:rPr>
        <w:t>Predkladá: Ekonomická univerzita v Bratislave</w:t>
      </w:r>
    </w:p>
    <w:p w:rsidR="006E503B" w:rsidRPr="006E503B" w:rsidRDefault="006E503B" w:rsidP="006E503B">
      <w:pPr>
        <w:pStyle w:val="Default"/>
        <w:rPr>
          <w:rFonts w:asciiTheme="minorHAnsi" w:hAnsiTheme="minorHAnsi"/>
          <w:sz w:val="22"/>
          <w:szCs w:val="22"/>
        </w:rPr>
      </w:pPr>
      <w:r w:rsidRPr="006E503B">
        <w:rPr>
          <w:rFonts w:asciiTheme="minorHAnsi" w:hAnsiTheme="minorHAnsi"/>
          <w:sz w:val="22"/>
          <w:szCs w:val="22"/>
        </w:rPr>
        <w:t xml:space="preserve">Ods. (6) písm. g) – str. 2 metodiky </w:t>
      </w:r>
    </w:p>
    <w:p w:rsidR="006E503B" w:rsidRPr="006E503B" w:rsidRDefault="006E503B" w:rsidP="006E503B">
      <w:r w:rsidRPr="006E503B">
        <w:rPr>
          <w:b/>
        </w:rPr>
        <w:t>Navrhujeme ponechať v rámci dotácie na sociálnu podporu študentov výšku dotácie na jedného študenta na motivačné štipendium v pôvodnej sume 350,- Eur.</w:t>
      </w:r>
      <w:r w:rsidRPr="006E503B">
        <w:t xml:space="preserve"> Sumu plánovanú na zvýšenie tejto dotácie v roku 2016 použiť v časti dotácie na uskutočňovanie akreditovaných študijných programov, ktorá je poddimenzovaná.</w:t>
      </w:r>
    </w:p>
    <w:p w:rsidR="006E503B" w:rsidRPr="00F34CF1" w:rsidRDefault="006E503B" w:rsidP="006E503B">
      <w:pPr>
        <w:autoSpaceDE w:val="0"/>
        <w:autoSpaceDN w:val="0"/>
        <w:adjustRightInd w:val="0"/>
        <w:spacing w:after="0" w:line="240" w:lineRule="auto"/>
      </w:pPr>
      <w:r w:rsidRPr="00F34CF1">
        <w:t xml:space="preserve">Ods. (9) </w:t>
      </w:r>
      <w:r w:rsidRPr="006E503B">
        <w:t>–</w:t>
      </w:r>
      <w:r w:rsidRPr="00F34CF1">
        <w:t xml:space="preserve"> str</w:t>
      </w:r>
      <w:r w:rsidRPr="006E503B">
        <w:t xml:space="preserve">. </w:t>
      </w:r>
      <w:r w:rsidRPr="00F34CF1">
        <w:t xml:space="preserve">2 metodiky </w:t>
      </w:r>
    </w:p>
    <w:p w:rsidR="006E503B" w:rsidRPr="00F34CF1" w:rsidRDefault="006E503B" w:rsidP="006E503B">
      <w:pPr>
        <w:autoSpaceDE w:val="0"/>
        <w:autoSpaceDN w:val="0"/>
        <w:adjustRightInd w:val="0"/>
        <w:spacing w:after="0" w:line="240" w:lineRule="auto"/>
      </w:pPr>
      <w:r w:rsidRPr="00F34CF1">
        <w:rPr>
          <w:b/>
        </w:rPr>
        <w:t xml:space="preserve">Navrhujeme prideľovať dotáciu „dopad valorizácie z roku 2015 na rozpočet roku 2016“ podľa počtu vysokoškolských učiteľov a ostatných zamestnancov t.j. nie podľa výkonových ukazovateľov. </w:t>
      </w:r>
      <w:r w:rsidRPr="00F34CF1">
        <w:t xml:space="preserve">V prípade výkonového rozdelenia môže prísť k situácii, že niektorá verejná vysoká škola nebude mať plne pokryté zákonné zvýšenie tarifných platov. </w:t>
      </w:r>
    </w:p>
    <w:p w:rsidR="006E503B" w:rsidRPr="006E503B" w:rsidRDefault="006E503B" w:rsidP="006E503B">
      <w:pPr>
        <w:autoSpaceDE w:val="0"/>
        <w:autoSpaceDN w:val="0"/>
        <w:adjustRightInd w:val="0"/>
        <w:spacing w:after="0" w:line="240" w:lineRule="auto"/>
      </w:pPr>
    </w:p>
    <w:p w:rsidR="006E503B" w:rsidRPr="006E503B" w:rsidRDefault="006E503B" w:rsidP="006E503B">
      <w:pPr>
        <w:autoSpaceDE w:val="0"/>
        <w:autoSpaceDN w:val="0"/>
        <w:adjustRightInd w:val="0"/>
        <w:spacing w:after="0" w:line="240" w:lineRule="auto"/>
      </w:pPr>
      <w:r w:rsidRPr="00F34CF1">
        <w:t xml:space="preserve">V súvislosti s výrazným zvýšením minimálnej mzdy od r. 2016 </w:t>
      </w:r>
      <w:r w:rsidRPr="00F34CF1">
        <w:rPr>
          <w:b/>
        </w:rPr>
        <w:t>požadujeme na pokrytie povinného doplatku zamestnancom do jej výšky prostriedky v dotácii</w:t>
      </w:r>
      <w:r w:rsidRPr="00F34CF1">
        <w:t xml:space="preserve"> pre verejné vysoké školy v oblasti dotácie na uskutočňovanie akreditovaných študijných programov a dotácie na sociálnu podporu študentov v časti príspevku na prevádzku študentských domovov. </w:t>
      </w:r>
    </w:p>
    <w:p w:rsidR="00EA1D03" w:rsidRDefault="00EA1D03" w:rsidP="00EA1D03">
      <w:pPr>
        <w:spacing w:after="0" w:line="240" w:lineRule="auto"/>
        <w:jc w:val="both"/>
      </w:pPr>
    </w:p>
    <w:p w:rsidR="00EA1D03" w:rsidRPr="006E503B" w:rsidRDefault="00EA1D03" w:rsidP="00EA1D03">
      <w:pPr>
        <w:spacing w:after="0" w:line="240" w:lineRule="auto"/>
        <w:jc w:val="both"/>
        <w:rPr>
          <w:b/>
          <w:i/>
        </w:rPr>
      </w:pPr>
      <w:r w:rsidRPr="006E503B">
        <w:t>Finančné prostriedky určené na valorizáciu platov vysokoškolských učiteľov a ostatných zamestnancov roku 2016 (</w:t>
      </w:r>
      <w:r w:rsidRPr="006E503B">
        <w:rPr>
          <w:b/>
        </w:rPr>
        <w:t>Odporúčanie:</w:t>
      </w:r>
      <w:r w:rsidRPr="006E503B">
        <w:t xml:space="preserve">) </w:t>
      </w:r>
      <w:r w:rsidRPr="006E503B">
        <w:rPr>
          <w:b/>
        </w:rPr>
        <w:t>odporúčame navrhnúť</w:t>
      </w:r>
      <w:r w:rsidRPr="006E503B">
        <w:t xml:space="preserve"> v rozpočtovom opatrení </w:t>
      </w:r>
      <w:r w:rsidRPr="006E503B">
        <w:rPr>
          <w:i/>
        </w:rPr>
        <w:t>„MF SR na účel zabezpečenia valorizácie platov verejných vysokých škôl“</w:t>
      </w:r>
      <w:r w:rsidRPr="006E503B">
        <w:t xml:space="preserve"> podľa počtu vysokoškolských učiteľov a ostatných zamestnancov, t.j. nie podľa výkonových ukazovateľov.</w:t>
      </w:r>
    </w:p>
    <w:p w:rsidR="00EA1D03" w:rsidRPr="006E503B" w:rsidRDefault="00EA1D03" w:rsidP="00EA1D03">
      <w:pPr>
        <w:spacing w:after="0" w:line="240" w:lineRule="auto"/>
        <w:jc w:val="both"/>
        <w:rPr>
          <w:rFonts w:cs="Arial"/>
          <w:b/>
        </w:rPr>
      </w:pPr>
    </w:p>
    <w:p w:rsidR="00EA1D03" w:rsidRPr="006E503B" w:rsidRDefault="00EA1D03" w:rsidP="00EA1D03">
      <w:pPr>
        <w:spacing w:after="0" w:line="240" w:lineRule="auto"/>
        <w:jc w:val="both"/>
        <w:rPr>
          <w:rFonts w:cs="Arial"/>
          <w:u w:val="single"/>
        </w:rPr>
      </w:pPr>
      <w:r w:rsidRPr="006E503B">
        <w:rPr>
          <w:rFonts w:cs="Arial"/>
          <w:u w:val="single"/>
        </w:rPr>
        <w:t>Taktiež predkladá</w:t>
      </w:r>
      <w:r>
        <w:rPr>
          <w:rFonts w:cs="Arial"/>
          <w:u w:val="single"/>
        </w:rPr>
        <w:t>:</w:t>
      </w:r>
      <w:r w:rsidRPr="006E503B">
        <w:rPr>
          <w:rFonts w:cs="Arial"/>
          <w:u w:val="single"/>
        </w:rPr>
        <w:t xml:space="preserve"> Univerzita sv. Cyrila a Metoda v Trnave:</w:t>
      </w:r>
    </w:p>
    <w:p w:rsidR="00EA1D03" w:rsidRPr="006E503B" w:rsidRDefault="00EA1D03" w:rsidP="00EA1D03">
      <w:pPr>
        <w:pStyle w:val="Bezriadkovania"/>
        <w:numPr>
          <w:ilvl w:val="0"/>
          <w:numId w:val="9"/>
        </w:numPr>
      </w:pPr>
      <w:r w:rsidRPr="006E503B">
        <w:t>v návrhu metodiky na rok 2016 nie sú pridelené finančné prostriedky na valorizáciu platov pedagogických a nepedagogických zamestnancov v roku 2016</w:t>
      </w:r>
    </w:p>
    <w:p w:rsidR="006E503B" w:rsidRPr="006E503B" w:rsidRDefault="006E503B" w:rsidP="006E503B">
      <w:pPr>
        <w:autoSpaceDE w:val="0"/>
        <w:autoSpaceDN w:val="0"/>
        <w:adjustRightInd w:val="0"/>
        <w:spacing w:after="0" w:line="240" w:lineRule="auto"/>
      </w:pPr>
    </w:p>
    <w:p w:rsidR="006E503B" w:rsidRPr="006E503B" w:rsidRDefault="006E503B" w:rsidP="006E503B">
      <w:pPr>
        <w:autoSpaceDE w:val="0"/>
        <w:autoSpaceDN w:val="0"/>
        <w:adjustRightInd w:val="0"/>
        <w:spacing w:after="0" w:line="240" w:lineRule="auto"/>
        <w:rPr>
          <w:u w:val="single"/>
        </w:rPr>
      </w:pPr>
      <w:r w:rsidRPr="006E503B">
        <w:rPr>
          <w:u w:val="single"/>
        </w:rPr>
        <w:t>Taktiež predkladá</w:t>
      </w:r>
      <w:r w:rsidR="00DF0CB2">
        <w:rPr>
          <w:u w:val="single"/>
        </w:rPr>
        <w:t>:</w:t>
      </w:r>
      <w:r w:rsidRPr="006E503B">
        <w:rPr>
          <w:u w:val="single"/>
        </w:rPr>
        <w:t xml:space="preserve"> Trnavská univerzita v Trnave</w:t>
      </w:r>
    </w:p>
    <w:p w:rsidR="006E503B" w:rsidRPr="00F34CF1" w:rsidRDefault="006E503B" w:rsidP="006E503B">
      <w:pPr>
        <w:autoSpaceDE w:val="0"/>
        <w:autoSpaceDN w:val="0"/>
        <w:adjustRightInd w:val="0"/>
        <w:spacing w:after="0" w:line="240" w:lineRule="auto"/>
      </w:pPr>
      <w:r w:rsidRPr="006E503B">
        <w:t xml:space="preserve">S odbormi </w:t>
      </w:r>
      <w:proofErr w:type="spellStart"/>
      <w:r w:rsidRPr="006E503B">
        <w:t>vyrokované</w:t>
      </w:r>
      <w:proofErr w:type="spellEnd"/>
      <w:r w:rsidRPr="006E503B">
        <w:t xml:space="preserve"> zvýšenie tarifných platov o 4 % pre všetkých zamestnancov VVŠ nie je v rozpise zvlášť vyčlenené, tak ako to bývalo v minulosti. Znamená to, že prostriedky na to potrebné budú dodatočne poukázané VVŠ?</w:t>
      </w:r>
    </w:p>
    <w:p w:rsidR="006E503B" w:rsidRDefault="006E503B" w:rsidP="00183A73">
      <w:pPr>
        <w:spacing w:after="0" w:line="240" w:lineRule="auto"/>
        <w:jc w:val="both"/>
        <w:rPr>
          <w:b/>
        </w:rPr>
      </w:pPr>
    </w:p>
    <w:p w:rsidR="00183A73" w:rsidRPr="006E503B" w:rsidRDefault="00183A73" w:rsidP="00183A73">
      <w:pPr>
        <w:spacing w:after="0" w:line="240" w:lineRule="auto"/>
        <w:jc w:val="both"/>
        <w:rPr>
          <w:b/>
        </w:rPr>
      </w:pPr>
      <w:r w:rsidRPr="006E503B">
        <w:rPr>
          <w:b/>
        </w:rPr>
        <w:t xml:space="preserve">Bod </w:t>
      </w:r>
      <w:r w:rsidR="00EA1D03">
        <w:rPr>
          <w:b/>
        </w:rPr>
        <w:t>3</w:t>
      </w:r>
      <w:r w:rsidRPr="006E503B">
        <w:rPr>
          <w:b/>
        </w:rPr>
        <w:t xml:space="preserve"> Dotácia na uskutočňovanie akreditovaných študijných programov</w:t>
      </w:r>
    </w:p>
    <w:p w:rsidR="00183A73" w:rsidRPr="006E503B" w:rsidRDefault="00183A73" w:rsidP="00183A73">
      <w:pPr>
        <w:pStyle w:val="Default"/>
        <w:rPr>
          <w:rFonts w:asciiTheme="minorHAnsi" w:hAnsiTheme="minorHAnsi"/>
          <w:sz w:val="22"/>
          <w:szCs w:val="22"/>
          <w:u w:val="single"/>
        </w:rPr>
      </w:pPr>
      <w:r w:rsidRPr="006E503B">
        <w:rPr>
          <w:rFonts w:asciiTheme="minorHAnsi" w:hAnsiTheme="minorHAnsi" w:cs="Arial"/>
          <w:sz w:val="22"/>
          <w:szCs w:val="22"/>
          <w:u w:val="single"/>
        </w:rPr>
        <w:t>Predkladá: Ekonomická univerzita v Bratislave</w:t>
      </w:r>
    </w:p>
    <w:p w:rsidR="00183A73" w:rsidRPr="006E503B" w:rsidRDefault="00183A73" w:rsidP="00183A73">
      <w:pPr>
        <w:pStyle w:val="Bezriadkovania"/>
      </w:pPr>
      <w:r w:rsidRPr="006E503B">
        <w:t xml:space="preserve">Ods. (13) - strana 3 metodiky </w:t>
      </w:r>
    </w:p>
    <w:p w:rsidR="00183A73" w:rsidRPr="006E503B" w:rsidRDefault="00183A73" w:rsidP="00670CD0">
      <w:pPr>
        <w:pStyle w:val="Default"/>
        <w:rPr>
          <w:rFonts w:asciiTheme="minorHAnsi" w:hAnsiTheme="minorHAnsi" w:cs="Arial"/>
          <w:b/>
          <w:sz w:val="22"/>
          <w:szCs w:val="22"/>
        </w:rPr>
      </w:pPr>
      <w:r w:rsidRPr="006E503B">
        <w:rPr>
          <w:rFonts w:asciiTheme="minorHAnsi" w:hAnsiTheme="minorHAnsi"/>
          <w:sz w:val="22"/>
          <w:szCs w:val="22"/>
        </w:rPr>
        <w:t xml:space="preserve">Ekonomická univerzita v Bratislave vyjadruje nespokojnosť s výškou schváleného rozpočtu na rok 2016. Rozpočet nielenže nevytvára podmienky na rozvoj univerzít, ale hrozí, že niektoré univerzity </w:t>
      </w:r>
      <w:r w:rsidRPr="006E503B">
        <w:rPr>
          <w:rFonts w:asciiTheme="minorHAnsi" w:hAnsiTheme="minorHAnsi"/>
          <w:sz w:val="22"/>
          <w:szCs w:val="22"/>
        </w:rPr>
        <w:lastRenderedPageBreak/>
        <w:t>nebudú mať finančné prostriedky ani na základné pokrytie hlavnej činnosti. Schválená dotácia celkových bežných výdavkov neumožní Ekonomickej univerzite v Bratislave dodržať záväzný ukazovateľ maximálnej výšky celkového objemu miezd a poistného.</w:t>
      </w:r>
    </w:p>
    <w:p w:rsidR="006E503B" w:rsidRDefault="006E503B" w:rsidP="006E503B">
      <w:pPr>
        <w:spacing w:after="0" w:line="240" w:lineRule="auto"/>
        <w:jc w:val="both"/>
        <w:rPr>
          <w:rFonts w:cs="Arial"/>
          <w:u w:val="single"/>
        </w:rPr>
      </w:pPr>
    </w:p>
    <w:p w:rsidR="006E503B" w:rsidRPr="006E503B" w:rsidRDefault="006E503B" w:rsidP="006E503B">
      <w:pPr>
        <w:spacing w:after="0" w:line="240" w:lineRule="auto"/>
        <w:jc w:val="both"/>
        <w:rPr>
          <w:rFonts w:cs="Arial"/>
          <w:u w:val="single"/>
        </w:rPr>
      </w:pPr>
      <w:r w:rsidRPr="006E503B">
        <w:rPr>
          <w:rFonts w:cs="Arial"/>
          <w:u w:val="single"/>
        </w:rPr>
        <w:t>Predkladá: Trnavská univerzita v Trnave</w:t>
      </w:r>
    </w:p>
    <w:p w:rsidR="006E503B" w:rsidRPr="006E503B" w:rsidRDefault="006E503B" w:rsidP="006E503B">
      <w:pPr>
        <w:spacing w:after="0" w:line="240" w:lineRule="auto"/>
        <w:jc w:val="both"/>
        <w:rPr>
          <w:rFonts w:cs="Arial"/>
        </w:rPr>
      </w:pPr>
      <w:r w:rsidRPr="006E503B">
        <w:rPr>
          <w:rFonts w:cs="Arial"/>
        </w:rPr>
        <w:t xml:space="preserve">V minulosti deklarované medziročné </w:t>
      </w:r>
      <w:proofErr w:type="spellStart"/>
      <w:r w:rsidRPr="006E503B">
        <w:rPr>
          <w:rFonts w:cs="Arial"/>
        </w:rPr>
        <w:t>navyšovanie</w:t>
      </w:r>
      <w:proofErr w:type="spellEnd"/>
      <w:r w:rsidRPr="006E503B">
        <w:rPr>
          <w:rFonts w:cs="Arial"/>
        </w:rPr>
        <w:t xml:space="preserve"> dotácie pre VVŠ o 20. </w:t>
      </w:r>
      <w:r>
        <w:rPr>
          <w:rFonts w:cs="Arial"/>
        </w:rPr>
        <w:t>m</w:t>
      </w:r>
      <w:r w:rsidRPr="006E503B">
        <w:rPr>
          <w:rFonts w:cs="Arial"/>
        </w:rPr>
        <w:t xml:space="preserve">il. eur ročne sa opäť nenaplnilo. </w:t>
      </w:r>
    </w:p>
    <w:p w:rsidR="00183A73" w:rsidRPr="006E503B" w:rsidRDefault="00183A73" w:rsidP="0004647E">
      <w:pPr>
        <w:spacing w:after="0" w:line="240" w:lineRule="auto"/>
        <w:jc w:val="both"/>
        <w:rPr>
          <w:rFonts w:cs="Arial"/>
          <w:b/>
        </w:rPr>
      </w:pPr>
    </w:p>
    <w:p w:rsidR="0004647E" w:rsidRPr="006E503B" w:rsidRDefault="00CD08E1" w:rsidP="0004647E">
      <w:pPr>
        <w:spacing w:after="0" w:line="240" w:lineRule="auto"/>
        <w:jc w:val="both"/>
        <w:rPr>
          <w:rFonts w:cs="Arial"/>
          <w:b/>
        </w:rPr>
      </w:pPr>
      <w:r w:rsidRPr="006E503B">
        <w:rPr>
          <w:rFonts w:cs="Arial"/>
          <w:b/>
        </w:rPr>
        <w:t xml:space="preserve">Bod </w:t>
      </w:r>
      <w:r w:rsidR="00EA1D03">
        <w:rPr>
          <w:rFonts w:cs="Arial"/>
          <w:b/>
        </w:rPr>
        <w:t>4</w:t>
      </w:r>
      <w:r w:rsidR="006E503B">
        <w:rPr>
          <w:rFonts w:cs="Arial"/>
          <w:b/>
        </w:rPr>
        <w:t xml:space="preserve"> </w:t>
      </w:r>
      <w:r w:rsidR="00791D8D" w:rsidRPr="006E503B">
        <w:rPr>
          <w:rFonts w:cs="Arial"/>
          <w:b/>
        </w:rPr>
        <w:t>Východiská</w:t>
      </w:r>
    </w:p>
    <w:p w:rsidR="00183A73" w:rsidRPr="006E503B" w:rsidRDefault="00183A73" w:rsidP="00183A73">
      <w:pPr>
        <w:pStyle w:val="Default"/>
        <w:rPr>
          <w:rFonts w:asciiTheme="minorHAnsi" w:hAnsiTheme="minorHAnsi"/>
          <w:sz w:val="22"/>
          <w:szCs w:val="22"/>
          <w:u w:val="single"/>
        </w:rPr>
      </w:pPr>
      <w:r w:rsidRPr="006E503B">
        <w:rPr>
          <w:rFonts w:asciiTheme="minorHAnsi" w:hAnsiTheme="minorHAnsi" w:cs="Arial"/>
          <w:sz w:val="22"/>
          <w:szCs w:val="22"/>
          <w:u w:val="single"/>
        </w:rPr>
        <w:t>Predkladá: Ekonomická univerzita v Bratislave</w:t>
      </w:r>
    </w:p>
    <w:p w:rsidR="00183A73" w:rsidRPr="006E503B" w:rsidRDefault="00183A73" w:rsidP="00183A73">
      <w:pPr>
        <w:pStyle w:val="Default"/>
        <w:rPr>
          <w:rFonts w:asciiTheme="minorHAnsi" w:hAnsiTheme="minorHAnsi"/>
          <w:sz w:val="22"/>
          <w:szCs w:val="22"/>
        </w:rPr>
      </w:pPr>
      <w:r w:rsidRPr="006E503B">
        <w:rPr>
          <w:rFonts w:asciiTheme="minorHAnsi" w:hAnsiTheme="minorHAnsi"/>
          <w:sz w:val="22"/>
          <w:szCs w:val="22"/>
        </w:rPr>
        <w:t>Ods. (6) písm. a) – str</w:t>
      </w:r>
      <w:r w:rsidR="00B52E16">
        <w:rPr>
          <w:rFonts w:asciiTheme="minorHAnsi" w:hAnsiTheme="minorHAnsi"/>
          <w:sz w:val="22"/>
          <w:szCs w:val="22"/>
        </w:rPr>
        <w:t>.</w:t>
      </w:r>
      <w:r w:rsidRPr="006E503B">
        <w:rPr>
          <w:rFonts w:asciiTheme="minorHAnsi" w:hAnsiTheme="minorHAnsi"/>
          <w:sz w:val="22"/>
          <w:szCs w:val="22"/>
        </w:rPr>
        <w:t xml:space="preserve"> 1 metodiky </w:t>
      </w:r>
    </w:p>
    <w:p w:rsidR="00183A73" w:rsidRPr="006E503B" w:rsidRDefault="00183A73" w:rsidP="00183A73">
      <w:pPr>
        <w:pStyle w:val="Bezriadkovania"/>
        <w:rPr>
          <w:b/>
          <w:i/>
        </w:rPr>
      </w:pPr>
      <w:r w:rsidRPr="006E503B">
        <w:t xml:space="preserve">Nesúhlasíme so zmenou v Metodike rozpisu dotácií zo štátneho rozpočtu verejným vysokým školám na rok 2016, ktorá sa týka zníženia vplyvu KAP pri výpočte dotácie na mzdy a poistné. </w:t>
      </w:r>
      <w:r w:rsidRPr="006E503B">
        <w:rPr>
          <w:b/>
          <w:i/>
        </w:rPr>
        <w:t>Návrh: Navrhujeme ponechať spôsob výpočtu podľa „Metodiky ...“ roku 2015.</w:t>
      </w:r>
    </w:p>
    <w:p w:rsidR="00183A73" w:rsidRDefault="00183A73" w:rsidP="0004647E">
      <w:pPr>
        <w:pStyle w:val="Bezriadkovania"/>
      </w:pPr>
    </w:p>
    <w:p w:rsidR="00B52E16" w:rsidRPr="00B52E16" w:rsidRDefault="00B52E16" w:rsidP="0004647E">
      <w:pPr>
        <w:pStyle w:val="Bezriadkovania"/>
        <w:rPr>
          <w:u w:val="single"/>
        </w:rPr>
      </w:pPr>
      <w:r w:rsidRPr="00B52E16">
        <w:rPr>
          <w:u w:val="single"/>
        </w:rPr>
        <w:t>Taktiež bod 5</w:t>
      </w:r>
    </w:p>
    <w:p w:rsidR="00B52E16" w:rsidRPr="006E503B" w:rsidRDefault="00B52E16" w:rsidP="0004647E">
      <w:pPr>
        <w:pStyle w:val="Bezriadkovania"/>
      </w:pPr>
    </w:p>
    <w:p w:rsidR="00FA7ABD" w:rsidRPr="006E503B" w:rsidRDefault="00FA7ABD" w:rsidP="0004647E">
      <w:pPr>
        <w:pStyle w:val="Bezriadkovania"/>
        <w:rPr>
          <w:u w:val="single"/>
        </w:rPr>
      </w:pPr>
      <w:r w:rsidRPr="006E503B">
        <w:rPr>
          <w:u w:val="single"/>
        </w:rPr>
        <w:t>Predkladá</w:t>
      </w:r>
      <w:r w:rsidR="006E503B">
        <w:rPr>
          <w:u w:val="single"/>
        </w:rPr>
        <w:t>:</w:t>
      </w:r>
      <w:r w:rsidRPr="006E503B">
        <w:rPr>
          <w:u w:val="single"/>
        </w:rPr>
        <w:t xml:space="preserve"> Trnavská univerzita v Trnave</w:t>
      </w:r>
    </w:p>
    <w:p w:rsidR="00FA7ABD" w:rsidRPr="006E503B" w:rsidRDefault="00FA7ABD" w:rsidP="0004647E">
      <w:pPr>
        <w:pStyle w:val="Bezriadkovania"/>
      </w:pPr>
      <w:r w:rsidRPr="006E503B">
        <w:t xml:space="preserve">V textovej časti metodiky 2016 sa uvádza zavedenie osobitného príspevku na praktickú prípravu študentov v študijnom odbore sociálna práca (ods. 6 písm. B) ako jedna zo zmien v porovnaní s metodikou 2015. Avšak v tabuľkovej časti v hárku dotácia na špecifiká nie je tento príspevok zohľadnený. </w:t>
      </w:r>
    </w:p>
    <w:p w:rsidR="00FA7ABD" w:rsidRPr="006E503B" w:rsidRDefault="00FA7ABD" w:rsidP="0004647E">
      <w:pPr>
        <w:pStyle w:val="Bezriadkovania"/>
      </w:pPr>
    </w:p>
    <w:p w:rsidR="00791D8D" w:rsidRPr="006E503B" w:rsidRDefault="00791D8D" w:rsidP="00791D8D">
      <w:pPr>
        <w:pStyle w:val="Bezriadkovania"/>
        <w:rPr>
          <w:u w:val="single"/>
        </w:rPr>
      </w:pPr>
      <w:r w:rsidRPr="006E503B">
        <w:rPr>
          <w:u w:val="single"/>
        </w:rPr>
        <w:t>Predkladá: Trenčianska univerzita A. Dubčeka v Trenčíne</w:t>
      </w:r>
    </w:p>
    <w:p w:rsidR="00791D8D" w:rsidRPr="006E503B" w:rsidRDefault="00791D8D" w:rsidP="00791D8D">
      <w:pPr>
        <w:pStyle w:val="Bezriadkovania"/>
      </w:pPr>
      <w:r w:rsidRPr="006E503B">
        <w:t>Zásadne namietame a odporúčame reprezentácii vysokých škôl vyjadriť nesúhlasné stanovisko k nasledovným zmenám v Metodike rozpisu dotácií zo štátneho rozpočtu verejným vysokým školám na rok 2016 :</w:t>
      </w:r>
    </w:p>
    <w:p w:rsidR="00791D8D" w:rsidRPr="006E503B" w:rsidRDefault="00791D8D" w:rsidP="006E503B">
      <w:pPr>
        <w:pStyle w:val="Bezriadkovania"/>
        <w:rPr>
          <w:b/>
        </w:rPr>
      </w:pPr>
      <w:r w:rsidRPr="006E503B">
        <w:rPr>
          <w:b/>
        </w:rPr>
        <w:t>Čl. 1 Východiská, ods. 6 písm. c ):</w:t>
      </w:r>
    </w:p>
    <w:p w:rsidR="00791D8D" w:rsidRPr="006E503B" w:rsidRDefault="00791D8D" w:rsidP="006E503B">
      <w:pPr>
        <w:pStyle w:val="Bezriadkovania"/>
        <w:rPr>
          <w:i/>
        </w:rPr>
      </w:pPr>
      <w:r w:rsidRPr="006E503B">
        <w:rPr>
          <w:i/>
        </w:rPr>
        <w:t xml:space="preserve">„v rámci dotácie na uskutočňovanie akreditovaných študijných programov sa aplikuje korekcia z titulu opráv údajov v centrálnom registri študentov </w:t>
      </w:r>
      <w:r w:rsidRPr="006E503B">
        <w:rPr>
          <w:i/>
          <w:u w:val="single"/>
        </w:rPr>
        <w:t>za predchádzajúce roky</w:t>
      </w:r>
      <w:r w:rsidRPr="006E503B">
        <w:rPr>
          <w:i/>
        </w:rPr>
        <w:t>“;</w:t>
      </w:r>
    </w:p>
    <w:p w:rsidR="00791D8D" w:rsidRPr="006E503B" w:rsidRDefault="00791D8D" w:rsidP="00791D8D">
      <w:pPr>
        <w:pStyle w:val="Bezriadkovania"/>
      </w:pPr>
      <w:r w:rsidRPr="006E503B">
        <w:rPr>
          <w:b/>
        </w:rPr>
        <w:t xml:space="preserve">Zdôvodnenie: </w:t>
      </w:r>
      <w:r w:rsidRPr="006E503B">
        <w:t xml:space="preserve">Z návrhu rozpisu dotácií zo štátneho rozpočtu verejným vysokým školám ( ďalej VVŠ) na rok 2016 nie je možné určiť, čo je to korekcia z titulu opráv v centrálnom registri </w:t>
      </w:r>
      <w:r w:rsidRPr="006E503B">
        <w:rPr>
          <w:u w:val="single"/>
        </w:rPr>
        <w:t>za predchádzajúce roky</w:t>
      </w:r>
      <w:r w:rsidRPr="006E503B">
        <w:t>. Rovnako nie je možné overiť či všetky verejné vysoké školy vykonali v priebehu roka 2015 požadované úpravy. Navrhujeme, aby sa úprava a výsledné korekcie konzultovali s každou VVŠ osobitne, ak o to prejaví záujem. Viď 3.1.5 ods. 48 z návrhu metodiky, vrátane poznámky pod čiarou.</w:t>
      </w:r>
    </w:p>
    <w:p w:rsidR="00B52E16" w:rsidRDefault="00B52E16" w:rsidP="006E503B">
      <w:pPr>
        <w:pStyle w:val="Bezriadkovania"/>
      </w:pPr>
    </w:p>
    <w:p w:rsidR="00791D8D" w:rsidRPr="00B52E16" w:rsidRDefault="00B52E16" w:rsidP="006E503B">
      <w:pPr>
        <w:pStyle w:val="Bezriadkovania"/>
        <w:rPr>
          <w:u w:val="single"/>
        </w:rPr>
      </w:pPr>
      <w:r w:rsidRPr="00B52E16">
        <w:rPr>
          <w:u w:val="single"/>
        </w:rPr>
        <w:t>Taktiež bod 6</w:t>
      </w:r>
    </w:p>
    <w:p w:rsidR="00B52E16" w:rsidRPr="006E503B" w:rsidRDefault="00B52E16" w:rsidP="006E503B">
      <w:pPr>
        <w:pStyle w:val="Bezriadkovania"/>
      </w:pPr>
    </w:p>
    <w:p w:rsidR="00791D8D" w:rsidRPr="006E503B" w:rsidRDefault="00791D8D" w:rsidP="007D1841">
      <w:pPr>
        <w:pStyle w:val="Bezriadkovania"/>
        <w:rPr>
          <w:b/>
        </w:rPr>
      </w:pPr>
      <w:r w:rsidRPr="006E503B">
        <w:rPr>
          <w:b/>
        </w:rPr>
        <w:t>Článok 1 Východiská, ods. 6 písm. d) :</w:t>
      </w:r>
    </w:p>
    <w:p w:rsidR="00791D8D" w:rsidRPr="006E503B" w:rsidRDefault="00791D8D" w:rsidP="007D1841">
      <w:pPr>
        <w:pStyle w:val="Bezriadkovania"/>
        <w:rPr>
          <w:i/>
        </w:rPr>
      </w:pPr>
      <w:r w:rsidRPr="006E503B">
        <w:rPr>
          <w:i/>
        </w:rPr>
        <w:t>„v rámci  dotácie na výskumnú, vývojovú alebo umeleckú činnosť sa upravuje spôsob zohľadňovania výsledkov komplexnej akreditácie činností vysokej školy posilnením lepšieho hodnotenia výskumnej, vývojovej, umeleckej a ďalšej tvorivej činnosti Akreditačnou komisiou“.</w:t>
      </w:r>
    </w:p>
    <w:p w:rsidR="00791D8D" w:rsidRPr="006E503B" w:rsidRDefault="00791D8D" w:rsidP="00791D8D">
      <w:pPr>
        <w:pStyle w:val="Bezriadkovania"/>
      </w:pPr>
      <w:r w:rsidRPr="006E503B">
        <w:rPr>
          <w:b/>
        </w:rPr>
        <w:t xml:space="preserve">Zdôvodnenie: </w:t>
      </w:r>
      <w:r w:rsidRPr="006E503B">
        <w:t xml:space="preserve">Návrh úpravy zohľadňovania výsledkov komplexnej akreditácie  vysokej školy </w:t>
      </w:r>
      <w:r w:rsidRPr="006E503B">
        <w:rPr>
          <w:u w:val="single"/>
        </w:rPr>
        <w:t>extrémnym posilnením hodnotenia „A“</w:t>
      </w:r>
      <w:r w:rsidRPr="006E503B">
        <w:t xml:space="preserve">  výskumnej, vývojovej a umeleckej činnosti </w:t>
      </w:r>
      <w:r w:rsidRPr="006E503B">
        <w:rPr>
          <w:u w:val="single"/>
        </w:rPr>
        <w:t>na úkor hodnotenia „B“</w:t>
      </w:r>
      <w:r w:rsidRPr="006E503B">
        <w:t xml:space="preserve">, výrazným spôsobom poškodzuje v rozpise dotácií 14 z 22 verejných vysokých škôl a vnáša do prostredia </w:t>
      </w:r>
      <w:r w:rsidRPr="006E503B">
        <w:rPr>
          <w:u w:val="single"/>
        </w:rPr>
        <w:t>finančnú nestabilitu</w:t>
      </w:r>
      <w:r w:rsidRPr="006E503B">
        <w:t xml:space="preserve">. Navrhovaná úprava </w:t>
      </w:r>
      <w:r w:rsidRPr="006E503B">
        <w:rPr>
          <w:u w:val="single"/>
        </w:rPr>
        <w:t>trestá</w:t>
      </w:r>
      <w:r w:rsidRPr="006E503B">
        <w:t xml:space="preserve"> aj tie vysoké školy, ktoré v procese komplexnej akreditácie dosiahli výrazne lepšie hodnotenie ako v komplexnej akreditácii v roku 2009 ( viď tab. č.14a). </w:t>
      </w:r>
    </w:p>
    <w:p w:rsidR="00791D8D" w:rsidRPr="006E503B" w:rsidRDefault="00791D8D" w:rsidP="00791D8D">
      <w:pPr>
        <w:pStyle w:val="Bezriadkovania"/>
      </w:pPr>
      <w:r w:rsidRPr="006E503B">
        <w:t xml:space="preserve">Navrhujem prijať úpravu, ktorá zohľadní trend zlepšujúcich sa parametrov výsledkov výskumnej , vývojovej a umeleckej činnosti vysokej školy, vrátane hodnotenia „A“.    </w:t>
      </w:r>
    </w:p>
    <w:p w:rsidR="00791D8D" w:rsidRPr="006E503B" w:rsidRDefault="00791D8D" w:rsidP="00791D8D">
      <w:pPr>
        <w:jc w:val="both"/>
      </w:pPr>
    </w:p>
    <w:tbl>
      <w:tblPr>
        <w:tblStyle w:val="Mriekatabuky"/>
        <w:tblW w:w="0" w:type="auto"/>
        <w:tblLook w:val="04A0" w:firstRow="1" w:lastRow="0" w:firstColumn="1" w:lastColumn="0" w:noHBand="0" w:noVBand="1"/>
      </w:tblPr>
      <w:tblGrid>
        <w:gridCol w:w="1690"/>
        <w:gridCol w:w="1690"/>
        <w:gridCol w:w="1690"/>
      </w:tblGrid>
      <w:tr w:rsidR="00EA1D03" w:rsidTr="00EA1D03">
        <w:tc>
          <w:tcPr>
            <w:tcW w:w="1690" w:type="dxa"/>
          </w:tcPr>
          <w:p w:rsidR="00EA1D03" w:rsidRDefault="00EA1D03" w:rsidP="00791D8D">
            <w:pPr>
              <w:jc w:val="both"/>
            </w:pPr>
          </w:p>
        </w:tc>
        <w:tc>
          <w:tcPr>
            <w:tcW w:w="1690" w:type="dxa"/>
          </w:tcPr>
          <w:p w:rsidR="00EA1D03" w:rsidRDefault="00EA1D03" w:rsidP="00791D8D">
            <w:pPr>
              <w:jc w:val="both"/>
            </w:pPr>
            <w:r>
              <w:t>2015</w:t>
            </w:r>
          </w:p>
        </w:tc>
        <w:tc>
          <w:tcPr>
            <w:tcW w:w="1690" w:type="dxa"/>
          </w:tcPr>
          <w:p w:rsidR="00EA1D03" w:rsidRDefault="00EA1D03" w:rsidP="00791D8D">
            <w:pPr>
              <w:jc w:val="both"/>
            </w:pPr>
            <w:r>
              <w:t>Návrh 2016</w:t>
            </w:r>
          </w:p>
        </w:tc>
      </w:tr>
      <w:tr w:rsidR="00EA1D03" w:rsidTr="00EA1D03">
        <w:tc>
          <w:tcPr>
            <w:tcW w:w="1690" w:type="dxa"/>
          </w:tcPr>
          <w:p w:rsidR="00EA1D03" w:rsidRPr="00EA1D03" w:rsidRDefault="00EA1D03" w:rsidP="00EA1D03">
            <w:pPr>
              <w:jc w:val="center"/>
              <w:rPr>
                <w:b/>
              </w:rPr>
            </w:pPr>
            <w:r w:rsidRPr="00EA1D03">
              <w:rPr>
                <w:b/>
              </w:rPr>
              <w:t>KA</w:t>
            </w:r>
          </w:p>
        </w:tc>
        <w:tc>
          <w:tcPr>
            <w:tcW w:w="1690" w:type="dxa"/>
          </w:tcPr>
          <w:p w:rsidR="00EA1D03" w:rsidRPr="00EA1D03" w:rsidRDefault="00EA1D03" w:rsidP="00EA1D03">
            <w:pPr>
              <w:jc w:val="center"/>
              <w:rPr>
                <w:b/>
              </w:rPr>
            </w:pPr>
            <w:r w:rsidRPr="00EA1D03">
              <w:rPr>
                <w:b/>
              </w:rPr>
              <w:t>KZV1</w:t>
            </w:r>
          </w:p>
        </w:tc>
        <w:tc>
          <w:tcPr>
            <w:tcW w:w="1690" w:type="dxa"/>
          </w:tcPr>
          <w:p w:rsidR="00EA1D03" w:rsidRPr="00EA1D03" w:rsidRDefault="00EA1D03" w:rsidP="00EA1D03">
            <w:pPr>
              <w:jc w:val="center"/>
              <w:rPr>
                <w:b/>
              </w:rPr>
            </w:pPr>
            <w:r w:rsidRPr="00EA1D03">
              <w:rPr>
                <w:b/>
              </w:rPr>
              <w:t>(KZV1-1)^2</w:t>
            </w:r>
          </w:p>
        </w:tc>
      </w:tr>
      <w:tr w:rsidR="00EA1D03" w:rsidTr="00EA1D03">
        <w:tc>
          <w:tcPr>
            <w:tcW w:w="1690" w:type="dxa"/>
          </w:tcPr>
          <w:p w:rsidR="00EA1D03" w:rsidRPr="00EA1D03" w:rsidRDefault="00EA1D03" w:rsidP="00EA1D03">
            <w:pPr>
              <w:jc w:val="center"/>
              <w:rPr>
                <w:b/>
              </w:rPr>
            </w:pPr>
            <w:r w:rsidRPr="00EA1D03">
              <w:rPr>
                <w:b/>
              </w:rPr>
              <w:t>A</w:t>
            </w:r>
          </w:p>
        </w:tc>
        <w:tc>
          <w:tcPr>
            <w:tcW w:w="1690" w:type="dxa"/>
          </w:tcPr>
          <w:p w:rsidR="00EA1D03" w:rsidRDefault="00EA1D03" w:rsidP="00EA1D03">
            <w:pPr>
              <w:jc w:val="center"/>
            </w:pPr>
            <w:r>
              <w:t>4</w:t>
            </w:r>
          </w:p>
        </w:tc>
        <w:tc>
          <w:tcPr>
            <w:tcW w:w="1690" w:type="dxa"/>
          </w:tcPr>
          <w:p w:rsidR="00EA1D03" w:rsidRDefault="00EA1D03" w:rsidP="00EA1D03">
            <w:pPr>
              <w:jc w:val="center"/>
            </w:pPr>
            <w:r>
              <w:t>9</w:t>
            </w:r>
          </w:p>
        </w:tc>
      </w:tr>
      <w:tr w:rsidR="00EA1D03" w:rsidTr="00EA1D03">
        <w:tc>
          <w:tcPr>
            <w:tcW w:w="1690" w:type="dxa"/>
          </w:tcPr>
          <w:p w:rsidR="00EA1D03" w:rsidRPr="00EA1D03" w:rsidRDefault="00EA1D03" w:rsidP="00EA1D03">
            <w:pPr>
              <w:jc w:val="center"/>
              <w:rPr>
                <w:b/>
              </w:rPr>
            </w:pPr>
            <w:r w:rsidRPr="00EA1D03">
              <w:rPr>
                <w:b/>
              </w:rPr>
              <w:t>B</w:t>
            </w:r>
          </w:p>
        </w:tc>
        <w:tc>
          <w:tcPr>
            <w:tcW w:w="1690" w:type="dxa"/>
          </w:tcPr>
          <w:p w:rsidR="00EA1D03" w:rsidRDefault="00EA1D03" w:rsidP="00EA1D03">
            <w:pPr>
              <w:jc w:val="center"/>
            </w:pPr>
            <w:r>
              <w:t>3</w:t>
            </w:r>
          </w:p>
        </w:tc>
        <w:tc>
          <w:tcPr>
            <w:tcW w:w="1690" w:type="dxa"/>
          </w:tcPr>
          <w:p w:rsidR="00EA1D03" w:rsidRDefault="00EA1D03" w:rsidP="00EA1D03">
            <w:pPr>
              <w:jc w:val="center"/>
            </w:pPr>
            <w:r>
              <w:t>4</w:t>
            </w:r>
          </w:p>
        </w:tc>
      </w:tr>
      <w:tr w:rsidR="00EA1D03" w:rsidTr="00EA1D03">
        <w:tc>
          <w:tcPr>
            <w:tcW w:w="1690" w:type="dxa"/>
          </w:tcPr>
          <w:p w:rsidR="00EA1D03" w:rsidRPr="00EA1D03" w:rsidRDefault="00EA1D03" w:rsidP="00EA1D03">
            <w:pPr>
              <w:jc w:val="center"/>
              <w:rPr>
                <w:b/>
              </w:rPr>
            </w:pPr>
            <w:r w:rsidRPr="00EA1D03">
              <w:rPr>
                <w:b/>
              </w:rPr>
              <w:t>C</w:t>
            </w:r>
          </w:p>
        </w:tc>
        <w:tc>
          <w:tcPr>
            <w:tcW w:w="1690" w:type="dxa"/>
          </w:tcPr>
          <w:p w:rsidR="00EA1D03" w:rsidRDefault="00EA1D03" w:rsidP="00EA1D03">
            <w:pPr>
              <w:jc w:val="center"/>
            </w:pPr>
            <w:r>
              <w:t>2</w:t>
            </w:r>
          </w:p>
        </w:tc>
        <w:tc>
          <w:tcPr>
            <w:tcW w:w="1690" w:type="dxa"/>
          </w:tcPr>
          <w:p w:rsidR="00EA1D03" w:rsidRDefault="00EA1D03" w:rsidP="00EA1D03">
            <w:pPr>
              <w:jc w:val="center"/>
            </w:pPr>
            <w:r>
              <w:t>1</w:t>
            </w:r>
          </w:p>
        </w:tc>
      </w:tr>
      <w:tr w:rsidR="00EA1D03" w:rsidTr="00EA1D03">
        <w:tc>
          <w:tcPr>
            <w:tcW w:w="1690" w:type="dxa"/>
          </w:tcPr>
          <w:p w:rsidR="00EA1D03" w:rsidRPr="00EA1D03" w:rsidRDefault="00EA1D03" w:rsidP="00EA1D03">
            <w:pPr>
              <w:jc w:val="center"/>
              <w:rPr>
                <w:b/>
              </w:rPr>
            </w:pPr>
            <w:r w:rsidRPr="00EA1D03">
              <w:rPr>
                <w:b/>
              </w:rPr>
              <w:t>D</w:t>
            </w:r>
          </w:p>
        </w:tc>
        <w:tc>
          <w:tcPr>
            <w:tcW w:w="1690" w:type="dxa"/>
          </w:tcPr>
          <w:p w:rsidR="00EA1D03" w:rsidRDefault="00EA1D03" w:rsidP="00EA1D03">
            <w:pPr>
              <w:jc w:val="center"/>
            </w:pPr>
            <w:r>
              <w:t>1,1</w:t>
            </w:r>
          </w:p>
        </w:tc>
        <w:tc>
          <w:tcPr>
            <w:tcW w:w="1690" w:type="dxa"/>
          </w:tcPr>
          <w:p w:rsidR="00EA1D03" w:rsidRDefault="00EA1D03" w:rsidP="00EA1D03">
            <w:pPr>
              <w:jc w:val="center"/>
            </w:pPr>
            <w:r>
              <w:t>0,01</w:t>
            </w:r>
          </w:p>
        </w:tc>
      </w:tr>
    </w:tbl>
    <w:p w:rsidR="00791D8D" w:rsidRPr="006E503B" w:rsidRDefault="00791D8D" w:rsidP="00EA1D03">
      <w:pPr>
        <w:pStyle w:val="Bezriadkovania"/>
      </w:pPr>
    </w:p>
    <w:p w:rsidR="00791D8D" w:rsidRPr="006E503B" w:rsidRDefault="00791D8D" w:rsidP="00791D8D">
      <w:pPr>
        <w:pStyle w:val="Bezriadkovania"/>
      </w:pPr>
      <w:r w:rsidRPr="006E503B">
        <w:t>Žiadame  vysvetliť akým kľúčom  ministerstvo dospelo k úprave hodnoty KZV1 (pôvodne K1 = KZV1 x TP, nový návrh K1 = (KZV1 - 1)</w:t>
      </w:r>
      <w:r w:rsidRPr="006E503B">
        <w:rPr>
          <w:vertAlign w:val="superscript"/>
        </w:rPr>
        <w:t xml:space="preserve">2  </w:t>
      </w:r>
      <w:r w:rsidRPr="006E503B">
        <w:t>x TP ).</w:t>
      </w:r>
      <w:r w:rsidRPr="006E503B">
        <w:tab/>
      </w:r>
      <w:r w:rsidRPr="006E503B">
        <w:tab/>
      </w:r>
      <w:r w:rsidRPr="006E503B">
        <w:tab/>
      </w:r>
      <w:r w:rsidRPr="006E503B">
        <w:tab/>
      </w:r>
      <w:r w:rsidRPr="006E503B">
        <w:tab/>
      </w:r>
    </w:p>
    <w:p w:rsidR="00B52E16" w:rsidRDefault="00B52E16" w:rsidP="0004647E">
      <w:pPr>
        <w:pStyle w:val="Bezriadkovania"/>
      </w:pPr>
    </w:p>
    <w:p w:rsidR="00791D8D" w:rsidRPr="00B52E16" w:rsidRDefault="00B52E16" w:rsidP="0004647E">
      <w:pPr>
        <w:pStyle w:val="Bezriadkovania"/>
        <w:rPr>
          <w:u w:val="single"/>
        </w:rPr>
      </w:pPr>
      <w:r w:rsidRPr="00B52E16">
        <w:rPr>
          <w:u w:val="single"/>
        </w:rPr>
        <w:t>Taktiež bod 8</w:t>
      </w:r>
    </w:p>
    <w:p w:rsidR="00B52E16" w:rsidRPr="006E503B" w:rsidRDefault="00B52E16" w:rsidP="0004647E">
      <w:pPr>
        <w:pStyle w:val="Bezriadkovania"/>
      </w:pPr>
    </w:p>
    <w:p w:rsidR="00212A17" w:rsidRPr="006E503B" w:rsidRDefault="00212A17" w:rsidP="0004647E">
      <w:pPr>
        <w:pStyle w:val="Bezriadkovania"/>
        <w:rPr>
          <w:b/>
        </w:rPr>
      </w:pPr>
      <w:r w:rsidRPr="006E503B">
        <w:rPr>
          <w:b/>
        </w:rPr>
        <w:t>Bod</w:t>
      </w:r>
      <w:r w:rsidR="006E503B" w:rsidRPr="006E503B">
        <w:rPr>
          <w:b/>
        </w:rPr>
        <w:t xml:space="preserve"> </w:t>
      </w:r>
      <w:r w:rsidR="00EA1D03">
        <w:rPr>
          <w:b/>
        </w:rPr>
        <w:t>5</w:t>
      </w:r>
      <w:r w:rsidRPr="006E503B">
        <w:rPr>
          <w:b/>
        </w:rPr>
        <w:t xml:space="preserve"> KAP</w:t>
      </w:r>
    </w:p>
    <w:p w:rsidR="0004647E" w:rsidRPr="006E503B" w:rsidRDefault="0004647E" w:rsidP="0004647E">
      <w:pPr>
        <w:pStyle w:val="Bezriadkovania"/>
        <w:rPr>
          <w:u w:val="single"/>
        </w:rPr>
      </w:pPr>
      <w:r w:rsidRPr="006E503B">
        <w:rPr>
          <w:u w:val="single"/>
        </w:rPr>
        <w:t>Predkladá: Univerzita P. J. Šafárika v Košiciach</w:t>
      </w:r>
    </w:p>
    <w:p w:rsidR="0004647E" w:rsidRPr="006E503B" w:rsidRDefault="0004647E" w:rsidP="00183A73">
      <w:pPr>
        <w:pStyle w:val="Odsekzoznamu"/>
        <w:spacing w:after="0" w:line="240" w:lineRule="auto"/>
        <w:ind w:left="0"/>
        <w:jc w:val="both"/>
        <w:rPr>
          <w:rFonts w:cs="Arial"/>
        </w:rPr>
      </w:pPr>
      <w:r w:rsidRPr="006E503B">
        <w:rPr>
          <w:rFonts w:cs="Arial"/>
        </w:rPr>
        <w:t xml:space="preserve">Dochádza k zmene, keď sa v danej podskupine odborov počíta minimum KAP zo všetkých stupňov štúdia a toto sa uplatňuje pre všetky tri stupne (počet evidovaných nezamestnaných sa sleduje podľa VŠ, stupňa a podskupiny). Predpokladáme, že zámerom bolo znížiť vplyv KAP študentov končiacich prvý stupeň štúdia. KAP sa uplatňuje pre výpočet mzdy a odvodov ako aj pri rozhodnutí, či študenti prvých dvoch stupňov štúdia budú poberať odborové štipendium. </w:t>
      </w:r>
    </w:p>
    <w:p w:rsidR="0004647E" w:rsidRPr="006E503B" w:rsidRDefault="0004647E" w:rsidP="0004647E">
      <w:pPr>
        <w:pStyle w:val="Odsekzoznamu"/>
        <w:spacing w:after="0" w:line="240" w:lineRule="auto"/>
        <w:ind w:left="0" w:firstLine="360"/>
        <w:jc w:val="both"/>
        <w:rPr>
          <w:rFonts w:cs="Arial"/>
        </w:rPr>
      </w:pPr>
    </w:p>
    <w:p w:rsidR="0004647E" w:rsidRPr="006E503B" w:rsidRDefault="0004647E" w:rsidP="00183A73">
      <w:pPr>
        <w:pStyle w:val="Odsekzoznamu"/>
        <w:spacing w:after="0" w:line="240" w:lineRule="auto"/>
        <w:ind w:left="0"/>
        <w:jc w:val="both"/>
        <w:rPr>
          <w:rFonts w:cs="Arial"/>
        </w:rPr>
      </w:pPr>
      <w:r w:rsidRPr="006E503B">
        <w:rPr>
          <w:rFonts w:cs="Arial"/>
          <w:b/>
        </w:rPr>
        <w:t>Modelová situácia 1:</w:t>
      </w:r>
      <w:r w:rsidRPr="006E503B">
        <w:rPr>
          <w:rFonts w:cs="Arial"/>
        </w:rPr>
        <w:t xml:space="preserve"> Malý počet evidovaných nezamestnaných absolventov tretieho stupňa štúdia má obrovský vplyv na mzdy zamestnancov na danom odbore (dokonca na inej fakulte)</w:t>
      </w:r>
    </w:p>
    <w:p w:rsidR="00183A73" w:rsidRPr="006E503B" w:rsidRDefault="00183A73" w:rsidP="00183A73">
      <w:pPr>
        <w:pStyle w:val="Odsekzoznamu"/>
        <w:spacing w:after="0" w:line="240" w:lineRule="auto"/>
        <w:ind w:left="0"/>
        <w:jc w:val="both"/>
        <w:rPr>
          <w:rFonts w:cs="Arial"/>
        </w:rPr>
      </w:pP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5"/>
        <w:gridCol w:w="786"/>
        <w:gridCol w:w="714"/>
        <w:gridCol w:w="714"/>
        <w:gridCol w:w="1027"/>
        <w:gridCol w:w="1259"/>
        <w:gridCol w:w="1221"/>
        <w:gridCol w:w="1331"/>
      </w:tblGrid>
      <w:tr w:rsidR="0004647E" w:rsidRPr="006E503B" w:rsidTr="008A41DE">
        <w:trPr>
          <w:trHeight w:val="478"/>
          <w:jc w:val="center"/>
        </w:trPr>
        <w:tc>
          <w:tcPr>
            <w:tcW w:w="1001" w:type="dxa"/>
            <w:shd w:val="clear" w:color="DCE6F1" w:fill="DCE6F1"/>
            <w:hideMark/>
          </w:tcPr>
          <w:p w:rsidR="0004647E" w:rsidRPr="006E503B" w:rsidRDefault="0004647E" w:rsidP="008A41DE">
            <w:pPr>
              <w:spacing w:after="0" w:line="240" w:lineRule="auto"/>
              <w:jc w:val="both"/>
              <w:rPr>
                <w:rFonts w:eastAsia="Times New Roman" w:cs="Arial"/>
                <w:b/>
                <w:bCs/>
                <w:lang w:eastAsia="sk-SK"/>
              </w:rPr>
            </w:pPr>
            <w:r w:rsidRPr="006E503B">
              <w:rPr>
                <w:rFonts w:eastAsia="Times New Roman" w:cs="Arial"/>
                <w:b/>
                <w:bCs/>
                <w:lang w:eastAsia="sk-SK"/>
              </w:rPr>
              <w:t>podskupina</w:t>
            </w:r>
          </w:p>
        </w:tc>
        <w:tc>
          <w:tcPr>
            <w:tcW w:w="769" w:type="dxa"/>
            <w:shd w:val="clear" w:color="DCE6F1" w:fill="DCE6F1"/>
            <w:hideMark/>
          </w:tcPr>
          <w:p w:rsidR="0004647E" w:rsidRPr="006E503B" w:rsidRDefault="0004647E" w:rsidP="008A41DE">
            <w:pPr>
              <w:spacing w:after="0" w:line="240" w:lineRule="auto"/>
              <w:jc w:val="both"/>
              <w:rPr>
                <w:rFonts w:eastAsia="Times New Roman" w:cs="Arial"/>
                <w:b/>
                <w:bCs/>
                <w:lang w:eastAsia="sk-SK"/>
              </w:rPr>
            </w:pPr>
            <w:r w:rsidRPr="006E503B">
              <w:rPr>
                <w:rFonts w:eastAsia="Times New Roman" w:cs="Arial"/>
                <w:b/>
                <w:bCs/>
                <w:lang w:eastAsia="sk-SK"/>
              </w:rPr>
              <w:t>Stupeň</w:t>
            </w:r>
          </w:p>
        </w:tc>
        <w:tc>
          <w:tcPr>
            <w:tcW w:w="714" w:type="dxa"/>
            <w:shd w:val="clear" w:color="DCE6F1" w:fill="DCE6F1"/>
            <w:hideMark/>
          </w:tcPr>
          <w:p w:rsidR="0004647E" w:rsidRPr="006E503B" w:rsidRDefault="0004647E" w:rsidP="008A41DE">
            <w:pPr>
              <w:spacing w:after="0" w:line="240" w:lineRule="auto"/>
              <w:jc w:val="both"/>
              <w:rPr>
                <w:rFonts w:eastAsia="Times New Roman" w:cs="Arial"/>
                <w:b/>
                <w:bCs/>
                <w:lang w:eastAsia="sk-SK"/>
              </w:rPr>
            </w:pPr>
            <w:r w:rsidRPr="006E503B">
              <w:rPr>
                <w:rFonts w:eastAsia="Times New Roman" w:cs="Arial"/>
                <w:b/>
                <w:bCs/>
                <w:lang w:eastAsia="sk-SK"/>
              </w:rPr>
              <w:t>2013</w:t>
            </w:r>
          </w:p>
        </w:tc>
        <w:tc>
          <w:tcPr>
            <w:tcW w:w="714" w:type="dxa"/>
            <w:shd w:val="clear" w:color="DCE6F1" w:fill="DCE6F1"/>
            <w:hideMark/>
          </w:tcPr>
          <w:p w:rsidR="0004647E" w:rsidRPr="006E503B" w:rsidRDefault="0004647E" w:rsidP="008A41DE">
            <w:pPr>
              <w:spacing w:after="0" w:line="240" w:lineRule="auto"/>
              <w:jc w:val="both"/>
              <w:rPr>
                <w:rFonts w:eastAsia="Times New Roman" w:cs="Arial"/>
                <w:b/>
                <w:bCs/>
                <w:lang w:eastAsia="sk-SK"/>
              </w:rPr>
            </w:pPr>
            <w:r w:rsidRPr="006E503B">
              <w:rPr>
                <w:rFonts w:eastAsia="Times New Roman" w:cs="Arial"/>
                <w:b/>
                <w:bCs/>
                <w:lang w:eastAsia="sk-SK"/>
              </w:rPr>
              <w:t>2014</w:t>
            </w:r>
          </w:p>
        </w:tc>
        <w:tc>
          <w:tcPr>
            <w:tcW w:w="838" w:type="dxa"/>
            <w:shd w:val="clear" w:color="DCE6F1" w:fill="DCE6F1"/>
            <w:hideMark/>
          </w:tcPr>
          <w:p w:rsidR="0004647E" w:rsidRPr="006E503B" w:rsidRDefault="0004647E" w:rsidP="008A41DE">
            <w:pPr>
              <w:spacing w:after="0" w:line="240" w:lineRule="auto"/>
              <w:jc w:val="both"/>
              <w:rPr>
                <w:rFonts w:eastAsia="Times New Roman" w:cs="Arial"/>
                <w:b/>
                <w:bCs/>
                <w:lang w:eastAsia="sk-SK"/>
              </w:rPr>
            </w:pPr>
            <w:r w:rsidRPr="006E503B">
              <w:rPr>
                <w:rFonts w:eastAsia="Times New Roman" w:cs="Arial"/>
                <w:b/>
                <w:bCs/>
                <w:lang w:eastAsia="sk-SK"/>
              </w:rPr>
              <w:t>Evidovaní</w:t>
            </w:r>
          </w:p>
        </w:tc>
        <w:tc>
          <w:tcPr>
            <w:tcW w:w="1012" w:type="dxa"/>
            <w:shd w:val="clear" w:color="DCE6F1" w:fill="DCE6F1"/>
            <w:hideMark/>
          </w:tcPr>
          <w:p w:rsidR="0004647E" w:rsidRPr="006E503B" w:rsidRDefault="0004647E" w:rsidP="008A41DE">
            <w:pPr>
              <w:spacing w:after="0" w:line="240" w:lineRule="auto"/>
              <w:jc w:val="both"/>
              <w:rPr>
                <w:rFonts w:eastAsia="Times New Roman" w:cs="Arial"/>
                <w:b/>
                <w:bCs/>
                <w:lang w:eastAsia="sk-SK"/>
              </w:rPr>
            </w:pPr>
            <w:r w:rsidRPr="006E503B">
              <w:rPr>
                <w:rFonts w:eastAsia="Times New Roman" w:cs="Arial"/>
                <w:b/>
                <w:bCs/>
                <w:lang w:eastAsia="sk-SK"/>
              </w:rPr>
              <w:t>počet absolventov</w:t>
            </w:r>
          </w:p>
        </w:tc>
        <w:tc>
          <w:tcPr>
            <w:tcW w:w="1221" w:type="dxa"/>
            <w:shd w:val="clear" w:color="4F81BD" w:fill="4F81BD"/>
            <w:hideMark/>
          </w:tcPr>
          <w:p w:rsidR="0004647E" w:rsidRPr="006E503B" w:rsidRDefault="0004647E" w:rsidP="008A41DE">
            <w:pPr>
              <w:spacing w:after="0" w:line="240" w:lineRule="auto"/>
              <w:jc w:val="both"/>
              <w:rPr>
                <w:rFonts w:eastAsia="Times New Roman" w:cs="Arial"/>
                <w:b/>
                <w:bCs/>
                <w:color w:val="FFFFFF"/>
                <w:lang w:eastAsia="sk-SK"/>
              </w:rPr>
            </w:pPr>
            <w:r w:rsidRPr="006E503B">
              <w:rPr>
                <w:rFonts w:eastAsia="Times New Roman" w:cs="Arial"/>
                <w:b/>
                <w:bCs/>
                <w:color w:val="FFFFFF"/>
                <w:lang w:eastAsia="sk-SK"/>
              </w:rPr>
              <w:t>KAP základ</w:t>
            </w:r>
          </w:p>
        </w:tc>
        <w:tc>
          <w:tcPr>
            <w:tcW w:w="1331" w:type="dxa"/>
            <w:shd w:val="clear" w:color="DCE6F1" w:fill="DCE6F1"/>
            <w:vAlign w:val="center"/>
            <w:hideMark/>
          </w:tcPr>
          <w:p w:rsidR="0004647E" w:rsidRPr="006E503B" w:rsidRDefault="0004647E" w:rsidP="008A41DE">
            <w:pPr>
              <w:spacing w:after="0" w:line="240" w:lineRule="auto"/>
              <w:jc w:val="both"/>
              <w:rPr>
                <w:rFonts w:eastAsia="Times New Roman" w:cs="Arial"/>
                <w:b/>
                <w:bCs/>
                <w:lang w:eastAsia="sk-SK"/>
              </w:rPr>
            </w:pPr>
            <w:r w:rsidRPr="006E503B">
              <w:rPr>
                <w:rFonts w:eastAsia="Times New Roman" w:cs="Arial"/>
                <w:b/>
                <w:bCs/>
                <w:lang w:eastAsia="sk-SK"/>
              </w:rPr>
              <w:t>KAP</w:t>
            </w:r>
          </w:p>
        </w:tc>
      </w:tr>
      <w:tr w:rsidR="0004647E" w:rsidRPr="006E503B" w:rsidTr="008A41DE">
        <w:trPr>
          <w:trHeight w:val="255"/>
          <w:jc w:val="center"/>
        </w:trPr>
        <w:tc>
          <w:tcPr>
            <w:tcW w:w="1001" w:type="dxa"/>
            <w:shd w:val="clear" w:color="DCE6F1" w:fill="DCE6F1"/>
            <w:noWrap/>
            <w:vAlign w:val="bottom"/>
            <w:hideMark/>
          </w:tcPr>
          <w:p w:rsidR="0004647E" w:rsidRPr="006E503B" w:rsidRDefault="0004647E" w:rsidP="008A41DE">
            <w:pPr>
              <w:spacing w:after="0" w:line="240" w:lineRule="auto"/>
              <w:jc w:val="both"/>
              <w:rPr>
                <w:rFonts w:eastAsia="Times New Roman" w:cs="Arial"/>
                <w:b/>
                <w:bCs/>
                <w:lang w:eastAsia="sk-SK"/>
              </w:rPr>
            </w:pPr>
            <w:r w:rsidRPr="006E503B">
              <w:rPr>
                <w:rFonts w:eastAsia="Times New Roman" w:cs="Arial"/>
                <w:b/>
                <w:bCs/>
                <w:lang w:eastAsia="sk-SK"/>
              </w:rPr>
              <w:t>67</w:t>
            </w:r>
          </w:p>
        </w:tc>
        <w:tc>
          <w:tcPr>
            <w:tcW w:w="769"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7</w:t>
            </w:r>
          </w:p>
        </w:tc>
        <w:tc>
          <w:tcPr>
            <w:tcW w:w="714"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167</w:t>
            </w:r>
          </w:p>
        </w:tc>
        <w:tc>
          <w:tcPr>
            <w:tcW w:w="714"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145</w:t>
            </w:r>
          </w:p>
        </w:tc>
        <w:tc>
          <w:tcPr>
            <w:tcW w:w="838"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4</w:t>
            </w:r>
          </w:p>
        </w:tc>
        <w:tc>
          <w:tcPr>
            <w:tcW w:w="1012"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312</w:t>
            </w:r>
          </w:p>
        </w:tc>
        <w:tc>
          <w:tcPr>
            <w:tcW w:w="1221"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0,987</w:t>
            </w:r>
          </w:p>
        </w:tc>
        <w:tc>
          <w:tcPr>
            <w:tcW w:w="1331"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0,200</w:t>
            </w:r>
          </w:p>
        </w:tc>
      </w:tr>
      <w:tr w:rsidR="0004647E" w:rsidRPr="006E503B" w:rsidTr="008A41DE">
        <w:trPr>
          <w:trHeight w:val="255"/>
          <w:jc w:val="center"/>
        </w:trPr>
        <w:tc>
          <w:tcPr>
            <w:tcW w:w="1001" w:type="dxa"/>
            <w:shd w:val="clear" w:color="auto" w:fill="auto"/>
            <w:noWrap/>
            <w:vAlign w:val="bottom"/>
            <w:hideMark/>
          </w:tcPr>
          <w:p w:rsidR="0004647E" w:rsidRPr="006E503B" w:rsidRDefault="0004647E" w:rsidP="008A41DE">
            <w:pPr>
              <w:spacing w:after="0" w:line="240" w:lineRule="auto"/>
              <w:jc w:val="both"/>
              <w:rPr>
                <w:rFonts w:eastAsia="Times New Roman" w:cs="Arial"/>
                <w:b/>
                <w:bCs/>
                <w:lang w:eastAsia="sk-SK"/>
              </w:rPr>
            </w:pPr>
            <w:r w:rsidRPr="006E503B">
              <w:rPr>
                <w:rFonts w:eastAsia="Times New Roman" w:cs="Arial"/>
                <w:b/>
                <w:bCs/>
                <w:lang w:eastAsia="sk-SK"/>
              </w:rPr>
              <w:t>67</w:t>
            </w:r>
          </w:p>
        </w:tc>
        <w:tc>
          <w:tcPr>
            <w:tcW w:w="769" w:type="dxa"/>
            <w:shd w:val="clear" w:color="auto" w:fill="auto"/>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8</w:t>
            </w:r>
          </w:p>
        </w:tc>
        <w:tc>
          <w:tcPr>
            <w:tcW w:w="714" w:type="dxa"/>
            <w:shd w:val="clear" w:color="auto" w:fill="auto"/>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111</w:t>
            </w:r>
          </w:p>
        </w:tc>
        <w:tc>
          <w:tcPr>
            <w:tcW w:w="714" w:type="dxa"/>
            <w:shd w:val="clear" w:color="auto" w:fill="auto"/>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123</w:t>
            </w:r>
          </w:p>
        </w:tc>
        <w:tc>
          <w:tcPr>
            <w:tcW w:w="838" w:type="dxa"/>
            <w:shd w:val="clear" w:color="auto" w:fill="auto"/>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60</w:t>
            </w:r>
          </w:p>
        </w:tc>
        <w:tc>
          <w:tcPr>
            <w:tcW w:w="1012" w:type="dxa"/>
            <w:shd w:val="clear" w:color="auto" w:fill="auto"/>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234</w:t>
            </w:r>
          </w:p>
        </w:tc>
        <w:tc>
          <w:tcPr>
            <w:tcW w:w="1221" w:type="dxa"/>
            <w:shd w:val="clear" w:color="auto" w:fill="auto"/>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0,744</w:t>
            </w:r>
          </w:p>
        </w:tc>
        <w:tc>
          <w:tcPr>
            <w:tcW w:w="1331" w:type="dxa"/>
            <w:shd w:val="clear" w:color="auto" w:fill="auto"/>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0,200</w:t>
            </w:r>
          </w:p>
        </w:tc>
      </w:tr>
      <w:tr w:rsidR="0004647E" w:rsidRPr="006E503B" w:rsidTr="008A41DE">
        <w:trPr>
          <w:trHeight w:val="255"/>
          <w:jc w:val="center"/>
        </w:trPr>
        <w:tc>
          <w:tcPr>
            <w:tcW w:w="1001" w:type="dxa"/>
            <w:shd w:val="clear" w:color="DCE6F1" w:fill="DCE6F1"/>
            <w:noWrap/>
            <w:vAlign w:val="bottom"/>
            <w:hideMark/>
          </w:tcPr>
          <w:p w:rsidR="0004647E" w:rsidRPr="006E503B" w:rsidRDefault="0004647E" w:rsidP="008A41DE">
            <w:pPr>
              <w:spacing w:after="0" w:line="240" w:lineRule="auto"/>
              <w:jc w:val="both"/>
              <w:rPr>
                <w:rFonts w:eastAsia="Times New Roman" w:cs="Arial"/>
                <w:b/>
                <w:bCs/>
                <w:lang w:eastAsia="sk-SK"/>
              </w:rPr>
            </w:pPr>
            <w:r w:rsidRPr="006E503B">
              <w:rPr>
                <w:rFonts w:eastAsia="Times New Roman" w:cs="Arial"/>
                <w:b/>
                <w:bCs/>
                <w:lang w:eastAsia="sk-SK"/>
              </w:rPr>
              <w:t>67</w:t>
            </w:r>
          </w:p>
        </w:tc>
        <w:tc>
          <w:tcPr>
            <w:tcW w:w="769"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9</w:t>
            </w:r>
          </w:p>
        </w:tc>
        <w:tc>
          <w:tcPr>
            <w:tcW w:w="714"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4</w:t>
            </w:r>
          </w:p>
        </w:tc>
        <w:tc>
          <w:tcPr>
            <w:tcW w:w="714"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1</w:t>
            </w:r>
          </w:p>
        </w:tc>
        <w:tc>
          <w:tcPr>
            <w:tcW w:w="838"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4</w:t>
            </w:r>
          </w:p>
        </w:tc>
        <w:tc>
          <w:tcPr>
            <w:tcW w:w="1012"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5</w:t>
            </w:r>
          </w:p>
        </w:tc>
        <w:tc>
          <w:tcPr>
            <w:tcW w:w="1221"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0,200</w:t>
            </w:r>
          </w:p>
        </w:tc>
        <w:tc>
          <w:tcPr>
            <w:tcW w:w="1331"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0,200</w:t>
            </w:r>
          </w:p>
        </w:tc>
      </w:tr>
    </w:tbl>
    <w:p w:rsidR="00183A73" w:rsidRPr="006E503B" w:rsidRDefault="00183A73" w:rsidP="00183A73">
      <w:pPr>
        <w:pStyle w:val="Odsekzoznamu"/>
        <w:spacing w:after="0" w:line="240" w:lineRule="auto"/>
        <w:ind w:left="0"/>
        <w:jc w:val="both"/>
        <w:rPr>
          <w:rFonts w:cs="Arial"/>
        </w:rPr>
      </w:pPr>
    </w:p>
    <w:p w:rsidR="0004647E" w:rsidRPr="006E503B" w:rsidRDefault="0004647E" w:rsidP="00183A73">
      <w:pPr>
        <w:pStyle w:val="Odsekzoznamu"/>
        <w:spacing w:after="0" w:line="240" w:lineRule="auto"/>
        <w:ind w:left="0"/>
        <w:jc w:val="both"/>
        <w:rPr>
          <w:rFonts w:cs="Arial"/>
        </w:rPr>
      </w:pPr>
      <w:r w:rsidRPr="006E503B">
        <w:rPr>
          <w:rFonts w:cs="Arial"/>
          <w:b/>
        </w:rPr>
        <w:t>Modelová situácia 2:</w:t>
      </w:r>
      <w:r w:rsidRPr="006E503B">
        <w:rPr>
          <w:rFonts w:cs="Arial"/>
        </w:rPr>
        <w:t xml:space="preserve"> Chýbajúci absolventi na niektorom stupni spôsobia chybný KAP pre ostatné stupne </w:t>
      </w:r>
      <w:r w:rsidR="00183A73" w:rsidRPr="006E503B">
        <w:rPr>
          <w:rFonts w:cs="Arial"/>
        </w:rPr>
        <w:t xml:space="preserve"> </w:t>
      </w:r>
    </w:p>
    <w:p w:rsidR="00183A73" w:rsidRPr="006E503B" w:rsidRDefault="00183A73" w:rsidP="00183A73">
      <w:pPr>
        <w:pStyle w:val="Odsekzoznamu"/>
        <w:spacing w:after="0" w:line="240" w:lineRule="auto"/>
        <w:ind w:left="0"/>
        <w:jc w:val="both"/>
        <w:rPr>
          <w:rFonts w:cs="Arial"/>
        </w:rPr>
      </w:pPr>
    </w:p>
    <w:tbl>
      <w:tblPr>
        <w:tblW w:w="8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5"/>
        <w:gridCol w:w="786"/>
        <w:gridCol w:w="714"/>
        <w:gridCol w:w="714"/>
        <w:gridCol w:w="1030"/>
        <w:gridCol w:w="1259"/>
        <w:gridCol w:w="1229"/>
        <w:gridCol w:w="1331"/>
      </w:tblGrid>
      <w:tr w:rsidR="0004647E" w:rsidRPr="006E503B" w:rsidTr="008A41DE">
        <w:trPr>
          <w:trHeight w:val="396"/>
          <w:jc w:val="center"/>
        </w:trPr>
        <w:tc>
          <w:tcPr>
            <w:tcW w:w="1141" w:type="dxa"/>
            <w:shd w:val="clear" w:color="DCE6F1" w:fill="DCE6F1"/>
            <w:hideMark/>
          </w:tcPr>
          <w:p w:rsidR="0004647E" w:rsidRPr="006E503B" w:rsidRDefault="0004647E" w:rsidP="008A41DE">
            <w:pPr>
              <w:spacing w:after="0" w:line="240" w:lineRule="auto"/>
              <w:jc w:val="both"/>
              <w:rPr>
                <w:rFonts w:eastAsia="Times New Roman" w:cs="Arial"/>
                <w:b/>
                <w:bCs/>
                <w:lang w:eastAsia="sk-SK"/>
              </w:rPr>
            </w:pPr>
            <w:r w:rsidRPr="006E503B">
              <w:rPr>
                <w:rFonts w:eastAsia="Times New Roman" w:cs="Arial"/>
                <w:b/>
                <w:bCs/>
                <w:lang w:eastAsia="sk-SK"/>
              </w:rPr>
              <w:t>podskupina</w:t>
            </w:r>
          </w:p>
        </w:tc>
        <w:tc>
          <w:tcPr>
            <w:tcW w:w="769" w:type="dxa"/>
            <w:shd w:val="clear" w:color="DCE6F1" w:fill="DCE6F1"/>
            <w:hideMark/>
          </w:tcPr>
          <w:p w:rsidR="0004647E" w:rsidRPr="006E503B" w:rsidRDefault="0004647E" w:rsidP="008A41DE">
            <w:pPr>
              <w:spacing w:after="0" w:line="240" w:lineRule="auto"/>
              <w:jc w:val="both"/>
              <w:rPr>
                <w:rFonts w:eastAsia="Times New Roman" w:cs="Arial"/>
                <w:b/>
                <w:bCs/>
                <w:lang w:eastAsia="sk-SK"/>
              </w:rPr>
            </w:pPr>
            <w:r w:rsidRPr="006E503B">
              <w:rPr>
                <w:rFonts w:eastAsia="Times New Roman" w:cs="Arial"/>
                <w:b/>
                <w:bCs/>
                <w:lang w:eastAsia="sk-SK"/>
              </w:rPr>
              <w:t>Stupeň</w:t>
            </w:r>
          </w:p>
        </w:tc>
        <w:tc>
          <w:tcPr>
            <w:tcW w:w="714" w:type="dxa"/>
            <w:shd w:val="clear" w:color="DCE6F1" w:fill="DCE6F1"/>
            <w:hideMark/>
          </w:tcPr>
          <w:p w:rsidR="0004647E" w:rsidRPr="006E503B" w:rsidRDefault="0004647E" w:rsidP="008A41DE">
            <w:pPr>
              <w:spacing w:after="0" w:line="240" w:lineRule="auto"/>
              <w:jc w:val="both"/>
              <w:rPr>
                <w:rFonts w:eastAsia="Times New Roman" w:cs="Arial"/>
                <w:b/>
                <w:bCs/>
                <w:lang w:eastAsia="sk-SK"/>
              </w:rPr>
            </w:pPr>
            <w:r w:rsidRPr="006E503B">
              <w:rPr>
                <w:rFonts w:eastAsia="Times New Roman" w:cs="Arial"/>
                <w:b/>
                <w:bCs/>
                <w:lang w:eastAsia="sk-SK"/>
              </w:rPr>
              <w:t>2013</w:t>
            </w:r>
          </w:p>
        </w:tc>
        <w:tc>
          <w:tcPr>
            <w:tcW w:w="714" w:type="dxa"/>
            <w:shd w:val="clear" w:color="DCE6F1" w:fill="DCE6F1"/>
            <w:hideMark/>
          </w:tcPr>
          <w:p w:rsidR="0004647E" w:rsidRPr="006E503B" w:rsidRDefault="0004647E" w:rsidP="008A41DE">
            <w:pPr>
              <w:spacing w:after="0" w:line="240" w:lineRule="auto"/>
              <w:jc w:val="both"/>
              <w:rPr>
                <w:rFonts w:eastAsia="Times New Roman" w:cs="Arial"/>
                <w:b/>
                <w:bCs/>
                <w:lang w:eastAsia="sk-SK"/>
              </w:rPr>
            </w:pPr>
            <w:r w:rsidRPr="006E503B">
              <w:rPr>
                <w:rFonts w:eastAsia="Times New Roman" w:cs="Arial"/>
                <w:b/>
                <w:bCs/>
                <w:lang w:eastAsia="sk-SK"/>
              </w:rPr>
              <w:t>2014</w:t>
            </w:r>
          </w:p>
        </w:tc>
        <w:tc>
          <w:tcPr>
            <w:tcW w:w="963" w:type="dxa"/>
            <w:shd w:val="clear" w:color="DCE6F1" w:fill="DCE6F1"/>
            <w:hideMark/>
          </w:tcPr>
          <w:p w:rsidR="0004647E" w:rsidRPr="006E503B" w:rsidRDefault="0004647E" w:rsidP="008A41DE">
            <w:pPr>
              <w:spacing w:after="0" w:line="240" w:lineRule="auto"/>
              <w:jc w:val="both"/>
              <w:rPr>
                <w:rFonts w:eastAsia="Times New Roman" w:cs="Arial"/>
                <w:b/>
                <w:bCs/>
                <w:lang w:eastAsia="sk-SK"/>
              </w:rPr>
            </w:pPr>
            <w:r w:rsidRPr="006E503B">
              <w:rPr>
                <w:rFonts w:eastAsia="Times New Roman" w:cs="Arial"/>
                <w:b/>
                <w:bCs/>
                <w:lang w:eastAsia="sk-SK"/>
              </w:rPr>
              <w:t>evidovaní</w:t>
            </w:r>
          </w:p>
        </w:tc>
        <w:tc>
          <w:tcPr>
            <w:tcW w:w="1152" w:type="dxa"/>
            <w:shd w:val="clear" w:color="DCE6F1" w:fill="DCE6F1"/>
            <w:hideMark/>
          </w:tcPr>
          <w:p w:rsidR="0004647E" w:rsidRPr="006E503B" w:rsidRDefault="0004647E" w:rsidP="008A41DE">
            <w:pPr>
              <w:spacing w:after="0" w:line="240" w:lineRule="auto"/>
              <w:jc w:val="both"/>
              <w:rPr>
                <w:rFonts w:eastAsia="Times New Roman" w:cs="Arial"/>
                <w:b/>
                <w:bCs/>
                <w:lang w:eastAsia="sk-SK"/>
              </w:rPr>
            </w:pPr>
            <w:r w:rsidRPr="006E503B">
              <w:rPr>
                <w:rFonts w:eastAsia="Times New Roman" w:cs="Arial"/>
                <w:b/>
                <w:bCs/>
                <w:lang w:eastAsia="sk-SK"/>
              </w:rPr>
              <w:t>počet absolventov</w:t>
            </w:r>
          </w:p>
        </w:tc>
        <w:tc>
          <w:tcPr>
            <w:tcW w:w="1229" w:type="dxa"/>
            <w:shd w:val="clear" w:color="4F81BD" w:fill="4F81BD"/>
            <w:hideMark/>
          </w:tcPr>
          <w:p w:rsidR="0004647E" w:rsidRPr="006E503B" w:rsidRDefault="0004647E" w:rsidP="008A41DE">
            <w:pPr>
              <w:spacing w:after="0" w:line="240" w:lineRule="auto"/>
              <w:jc w:val="both"/>
              <w:rPr>
                <w:rFonts w:eastAsia="Times New Roman" w:cs="Arial"/>
                <w:b/>
                <w:bCs/>
                <w:color w:val="FFFFFF"/>
                <w:lang w:eastAsia="sk-SK"/>
              </w:rPr>
            </w:pPr>
            <w:r w:rsidRPr="006E503B">
              <w:rPr>
                <w:rFonts w:eastAsia="Times New Roman" w:cs="Arial"/>
                <w:b/>
                <w:bCs/>
                <w:color w:val="FFFFFF"/>
                <w:lang w:eastAsia="sk-SK"/>
              </w:rPr>
              <w:t>KAP základ</w:t>
            </w:r>
          </w:p>
        </w:tc>
        <w:tc>
          <w:tcPr>
            <w:tcW w:w="1331" w:type="dxa"/>
            <w:shd w:val="clear" w:color="DCE6F1" w:fill="DCE6F1"/>
            <w:vAlign w:val="center"/>
            <w:hideMark/>
          </w:tcPr>
          <w:p w:rsidR="0004647E" w:rsidRPr="006E503B" w:rsidRDefault="0004647E" w:rsidP="008A41DE">
            <w:pPr>
              <w:spacing w:after="0" w:line="240" w:lineRule="auto"/>
              <w:jc w:val="both"/>
              <w:rPr>
                <w:rFonts w:eastAsia="Times New Roman" w:cs="Arial"/>
                <w:b/>
                <w:bCs/>
                <w:lang w:eastAsia="sk-SK"/>
              </w:rPr>
            </w:pPr>
            <w:r w:rsidRPr="006E503B">
              <w:rPr>
                <w:rFonts w:eastAsia="Times New Roman" w:cs="Arial"/>
                <w:b/>
                <w:bCs/>
                <w:lang w:eastAsia="sk-SK"/>
              </w:rPr>
              <w:t>KAP</w:t>
            </w:r>
          </w:p>
        </w:tc>
      </w:tr>
      <w:tr w:rsidR="0004647E" w:rsidRPr="006E503B" w:rsidTr="008A41DE">
        <w:trPr>
          <w:trHeight w:val="255"/>
          <w:jc w:val="center"/>
        </w:trPr>
        <w:tc>
          <w:tcPr>
            <w:tcW w:w="1141" w:type="dxa"/>
            <w:shd w:val="clear" w:color="DCE6F1" w:fill="DCE6F1"/>
            <w:noWrap/>
            <w:vAlign w:val="bottom"/>
            <w:hideMark/>
          </w:tcPr>
          <w:p w:rsidR="0004647E" w:rsidRPr="006E503B" w:rsidRDefault="0004647E" w:rsidP="008A41DE">
            <w:pPr>
              <w:spacing w:after="0" w:line="240" w:lineRule="auto"/>
              <w:jc w:val="both"/>
              <w:rPr>
                <w:rFonts w:eastAsia="Times New Roman" w:cs="Arial"/>
                <w:b/>
                <w:bCs/>
                <w:lang w:eastAsia="sk-SK"/>
              </w:rPr>
            </w:pPr>
            <w:r w:rsidRPr="006E503B">
              <w:rPr>
                <w:rFonts w:eastAsia="Times New Roman" w:cs="Arial"/>
                <w:b/>
                <w:bCs/>
                <w:lang w:eastAsia="sk-SK"/>
              </w:rPr>
              <w:t>75</w:t>
            </w:r>
          </w:p>
        </w:tc>
        <w:tc>
          <w:tcPr>
            <w:tcW w:w="769"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7</w:t>
            </w:r>
          </w:p>
        </w:tc>
        <w:tc>
          <w:tcPr>
            <w:tcW w:w="714"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w:t>
            </w:r>
          </w:p>
        </w:tc>
        <w:tc>
          <w:tcPr>
            <w:tcW w:w="714"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w:t>
            </w:r>
          </w:p>
        </w:tc>
        <w:tc>
          <w:tcPr>
            <w:tcW w:w="963"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2</w:t>
            </w:r>
          </w:p>
        </w:tc>
        <w:tc>
          <w:tcPr>
            <w:tcW w:w="1152"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w:t>
            </w:r>
          </w:p>
        </w:tc>
        <w:tc>
          <w:tcPr>
            <w:tcW w:w="1229"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0,000</w:t>
            </w:r>
          </w:p>
        </w:tc>
        <w:tc>
          <w:tcPr>
            <w:tcW w:w="1331"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0,897</w:t>
            </w:r>
          </w:p>
        </w:tc>
      </w:tr>
      <w:tr w:rsidR="0004647E" w:rsidRPr="006E503B" w:rsidTr="008A41DE">
        <w:trPr>
          <w:trHeight w:val="255"/>
          <w:jc w:val="center"/>
        </w:trPr>
        <w:tc>
          <w:tcPr>
            <w:tcW w:w="1141" w:type="dxa"/>
            <w:shd w:val="clear" w:color="auto" w:fill="auto"/>
            <w:noWrap/>
            <w:vAlign w:val="bottom"/>
            <w:hideMark/>
          </w:tcPr>
          <w:p w:rsidR="0004647E" w:rsidRPr="006E503B" w:rsidRDefault="0004647E" w:rsidP="008A41DE">
            <w:pPr>
              <w:spacing w:after="0" w:line="240" w:lineRule="auto"/>
              <w:jc w:val="both"/>
              <w:rPr>
                <w:rFonts w:eastAsia="Times New Roman" w:cs="Arial"/>
                <w:b/>
                <w:bCs/>
                <w:lang w:eastAsia="sk-SK"/>
              </w:rPr>
            </w:pPr>
            <w:r w:rsidRPr="006E503B">
              <w:rPr>
                <w:rFonts w:eastAsia="Times New Roman" w:cs="Arial"/>
                <w:b/>
                <w:bCs/>
                <w:lang w:eastAsia="sk-SK"/>
              </w:rPr>
              <w:t>75</w:t>
            </w:r>
          </w:p>
        </w:tc>
        <w:tc>
          <w:tcPr>
            <w:tcW w:w="769" w:type="dxa"/>
            <w:shd w:val="clear" w:color="auto" w:fill="auto"/>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8</w:t>
            </w:r>
          </w:p>
        </w:tc>
        <w:tc>
          <w:tcPr>
            <w:tcW w:w="714" w:type="dxa"/>
            <w:shd w:val="clear" w:color="auto" w:fill="auto"/>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w:t>
            </w:r>
          </w:p>
        </w:tc>
        <w:tc>
          <w:tcPr>
            <w:tcW w:w="714" w:type="dxa"/>
            <w:shd w:val="clear" w:color="auto" w:fill="auto"/>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w:t>
            </w:r>
          </w:p>
        </w:tc>
        <w:tc>
          <w:tcPr>
            <w:tcW w:w="963" w:type="dxa"/>
            <w:shd w:val="clear" w:color="auto" w:fill="auto"/>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2</w:t>
            </w:r>
          </w:p>
        </w:tc>
        <w:tc>
          <w:tcPr>
            <w:tcW w:w="1152" w:type="dxa"/>
            <w:shd w:val="clear" w:color="auto" w:fill="auto"/>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w:t>
            </w:r>
          </w:p>
        </w:tc>
        <w:tc>
          <w:tcPr>
            <w:tcW w:w="1229" w:type="dxa"/>
            <w:shd w:val="clear" w:color="auto" w:fill="auto"/>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0,000</w:t>
            </w:r>
          </w:p>
        </w:tc>
        <w:tc>
          <w:tcPr>
            <w:tcW w:w="1331" w:type="dxa"/>
            <w:shd w:val="clear" w:color="auto" w:fill="auto"/>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0,897</w:t>
            </w:r>
          </w:p>
        </w:tc>
      </w:tr>
      <w:tr w:rsidR="0004647E" w:rsidRPr="006E503B" w:rsidTr="008A41DE">
        <w:trPr>
          <w:trHeight w:val="255"/>
          <w:jc w:val="center"/>
        </w:trPr>
        <w:tc>
          <w:tcPr>
            <w:tcW w:w="1141" w:type="dxa"/>
            <w:shd w:val="clear" w:color="DCE6F1" w:fill="DCE6F1"/>
            <w:noWrap/>
            <w:vAlign w:val="bottom"/>
            <w:hideMark/>
          </w:tcPr>
          <w:p w:rsidR="0004647E" w:rsidRPr="006E503B" w:rsidRDefault="0004647E" w:rsidP="008A41DE">
            <w:pPr>
              <w:spacing w:after="0" w:line="240" w:lineRule="auto"/>
              <w:jc w:val="both"/>
              <w:rPr>
                <w:rFonts w:eastAsia="Times New Roman" w:cs="Arial"/>
                <w:b/>
                <w:bCs/>
                <w:lang w:eastAsia="sk-SK"/>
              </w:rPr>
            </w:pPr>
            <w:r w:rsidRPr="006E503B">
              <w:rPr>
                <w:rFonts w:eastAsia="Times New Roman" w:cs="Arial"/>
                <w:b/>
                <w:bCs/>
                <w:lang w:eastAsia="sk-SK"/>
              </w:rPr>
              <w:t>75</w:t>
            </w:r>
          </w:p>
        </w:tc>
        <w:tc>
          <w:tcPr>
            <w:tcW w:w="769"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9</w:t>
            </w:r>
          </w:p>
        </w:tc>
        <w:tc>
          <w:tcPr>
            <w:tcW w:w="714"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w:t>
            </w:r>
          </w:p>
        </w:tc>
        <w:tc>
          <w:tcPr>
            <w:tcW w:w="714"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w:t>
            </w:r>
          </w:p>
        </w:tc>
        <w:tc>
          <w:tcPr>
            <w:tcW w:w="963"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w:t>
            </w:r>
          </w:p>
        </w:tc>
        <w:tc>
          <w:tcPr>
            <w:tcW w:w="1152"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w:t>
            </w:r>
          </w:p>
        </w:tc>
        <w:tc>
          <w:tcPr>
            <w:tcW w:w="1229"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1,000</w:t>
            </w:r>
          </w:p>
        </w:tc>
        <w:tc>
          <w:tcPr>
            <w:tcW w:w="1331"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0,897</w:t>
            </w:r>
          </w:p>
        </w:tc>
      </w:tr>
      <w:tr w:rsidR="0004647E" w:rsidRPr="006E503B" w:rsidTr="008A41DE">
        <w:trPr>
          <w:trHeight w:val="255"/>
          <w:jc w:val="center"/>
        </w:trPr>
        <w:tc>
          <w:tcPr>
            <w:tcW w:w="1141" w:type="dxa"/>
            <w:shd w:val="clear" w:color="DCE6F1" w:fill="DCE6F1"/>
            <w:noWrap/>
            <w:vAlign w:val="bottom"/>
            <w:hideMark/>
          </w:tcPr>
          <w:p w:rsidR="0004647E" w:rsidRPr="006E503B" w:rsidRDefault="0004647E" w:rsidP="008A41DE">
            <w:pPr>
              <w:spacing w:after="0" w:line="240" w:lineRule="auto"/>
              <w:jc w:val="both"/>
              <w:rPr>
                <w:rFonts w:eastAsia="Times New Roman" w:cs="Arial"/>
                <w:b/>
                <w:bCs/>
                <w:lang w:eastAsia="sk-SK"/>
              </w:rPr>
            </w:pPr>
            <w:r w:rsidRPr="006E503B">
              <w:rPr>
                <w:rFonts w:eastAsia="Times New Roman" w:cs="Arial"/>
                <w:b/>
                <w:bCs/>
                <w:lang w:eastAsia="sk-SK"/>
              </w:rPr>
              <w:t>51</w:t>
            </w:r>
          </w:p>
        </w:tc>
        <w:tc>
          <w:tcPr>
            <w:tcW w:w="769"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7</w:t>
            </w:r>
          </w:p>
        </w:tc>
        <w:tc>
          <w:tcPr>
            <w:tcW w:w="714"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w:t>
            </w:r>
          </w:p>
        </w:tc>
        <w:tc>
          <w:tcPr>
            <w:tcW w:w="714"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w:t>
            </w:r>
          </w:p>
        </w:tc>
        <w:tc>
          <w:tcPr>
            <w:tcW w:w="963"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1</w:t>
            </w:r>
          </w:p>
        </w:tc>
        <w:tc>
          <w:tcPr>
            <w:tcW w:w="1152"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w:t>
            </w:r>
          </w:p>
        </w:tc>
        <w:tc>
          <w:tcPr>
            <w:tcW w:w="1229"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0,000</w:t>
            </w:r>
          </w:p>
        </w:tc>
        <w:tc>
          <w:tcPr>
            <w:tcW w:w="1331"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0,974</w:t>
            </w:r>
          </w:p>
        </w:tc>
      </w:tr>
      <w:tr w:rsidR="0004647E" w:rsidRPr="006E503B" w:rsidTr="008A41DE">
        <w:trPr>
          <w:trHeight w:val="255"/>
          <w:jc w:val="center"/>
        </w:trPr>
        <w:tc>
          <w:tcPr>
            <w:tcW w:w="1141" w:type="dxa"/>
            <w:shd w:val="clear" w:color="DCE6F1" w:fill="DCE6F1"/>
            <w:noWrap/>
            <w:vAlign w:val="bottom"/>
            <w:hideMark/>
          </w:tcPr>
          <w:p w:rsidR="0004647E" w:rsidRPr="006E503B" w:rsidRDefault="0004647E" w:rsidP="008A41DE">
            <w:pPr>
              <w:spacing w:after="0" w:line="240" w:lineRule="auto"/>
              <w:jc w:val="both"/>
              <w:rPr>
                <w:rFonts w:eastAsia="Times New Roman" w:cs="Arial"/>
                <w:b/>
                <w:bCs/>
                <w:lang w:eastAsia="sk-SK"/>
              </w:rPr>
            </w:pPr>
            <w:r w:rsidRPr="006E503B">
              <w:rPr>
                <w:rFonts w:eastAsia="Times New Roman" w:cs="Arial"/>
                <w:b/>
                <w:bCs/>
                <w:lang w:eastAsia="sk-SK"/>
              </w:rPr>
              <w:t>51</w:t>
            </w:r>
          </w:p>
        </w:tc>
        <w:tc>
          <w:tcPr>
            <w:tcW w:w="769"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8</w:t>
            </w:r>
          </w:p>
        </w:tc>
        <w:tc>
          <w:tcPr>
            <w:tcW w:w="714"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335</w:t>
            </w:r>
          </w:p>
        </w:tc>
        <w:tc>
          <w:tcPr>
            <w:tcW w:w="714"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231</w:t>
            </w:r>
          </w:p>
        </w:tc>
        <w:tc>
          <w:tcPr>
            <w:tcW w:w="963"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10</w:t>
            </w:r>
          </w:p>
        </w:tc>
        <w:tc>
          <w:tcPr>
            <w:tcW w:w="1152"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566</w:t>
            </w:r>
          </w:p>
        </w:tc>
        <w:tc>
          <w:tcPr>
            <w:tcW w:w="1229"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0,982</w:t>
            </w:r>
          </w:p>
        </w:tc>
        <w:tc>
          <w:tcPr>
            <w:tcW w:w="1331"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0,000</w:t>
            </w:r>
          </w:p>
        </w:tc>
      </w:tr>
      <w:tr w:rsidR="0004647E" w:rsidRPr="006E503B" w:rsidTr="008A41DE">
        <w:trPr>
          <w:trHeight w:val="255"/>
          <w:jc w:val="center"/>
        </w:trPr>
        <w:tc>
          <w:tcPr>
            <w:tcW w:w="1141" w:type="dxa"/>
            <w:shd w:val="clear" w:color="DCE6F1" w:fill="DCE6F1"/>
            <w:noWrap/>
            <w:vAlign w:val="bottom"/>
            <w:hideMark/>
          </w:tcPr>
          <w:p w:rsidR="0004647E" w:rsidRPr="006E503B" w:rsidRDefault="0004647E" w:rsidP="008A41DE">
            <w:pPr>
              <w:spacing w:after="0" w:line="240" w:lineRule="auto"/>
              <w:jc w:val="both"/>
              <w:rPr>
                <w:rFonts w:eastAsia="Times New Roman" w:cs="Arial"/>
                <w:b/>
                <w:bCs/>
                <w:lang w:eastAsia="sk-SK"/>
              </w:rPr>
            </w:pPr>
            <w:r w:rsidRPr="006E503B">
              <w:rPr>
                <w:rFonts w:eastAsia="Times New Roman" w:cs="Arial"/>
                <w:b/>
                <w:bCs/>
                <w:lang w:eastAsia="sk-SK"/>
              </w:rPr>
              <w:t>51</w:t>
            </w:r>
          </w:p>
        </w:tc>
        <w:tc>
          <w:tcPr>
            <w:tcW w:w="769"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9</w:t>
            </w:r>
          </w:p>
        </w:tc>
        <w:tc>
          <w:tcPr>
            <w:tcW w:w="714"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8</w:t>
            </w:r>
          </w:p>
        </w:tc>
        <w:tc>
          <w:tcPr>
            <w:tcW w:w="714"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10</w:t>
            </w:r>
          </w:p>
        </w:tc>
        <w:tc>
          <w:tcPr>
            <w:tcW w:w="963"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w:t>
            </w:r>
          </w:p>
        </w:tc>
        <w:tc>
          <w:tcPr>
            <w:tcW w:w="1152"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18</w:t>
            </w:r>
          </w:p>
        </w:tc>
        <w:tc>
          <w:tcPr>
            <w:tcW w:w="1229"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1,000</w:t>
            </w:r>
          </w:p>
        </w:tc>
        <w:tc>
          <w:tcPr>
            <w:tcW w:w="1331" w:type="dxa"/>
            <w:shd w:val="clear" w:color="DCE6F1" w:fill="DCE6F1"/>
            <w:noWrap/>
            <w:vAlign w:val="bottom"/>
            <w:hideMark/>
          </w:tcPr>
          <w:p w:rsidR="0004647E" w:rsidRPr="006E503B" w:rsidRDefault="0004647E" w:rsidP="008A41DE">
            <w:pPr>
              <w:spacing w:after="0" w:line="240" w:lineRule="auto"/>
              <w:jc w:val="both"/>
              <w:rPr>
                <w:rFonts w:eastAsia="Times New Roman" w:cs="Arial"/>
                <w:lang w:eastAsia="sk-SK"/>
              </w:rPr>
            </w:pPr>
            <w:r w:rsidRPr="006E503B">
              <w:rPr>
                <w:rFonts w:eastAsia="Times New Roman" w:cs="Arial"/>
                <w:lang w:eastAsia="sk-SK"/>
              </w:rPr>
              <w:t>0,000</w:t>
            </w:r>
          </w:p>
        </w:tc>
      </w:tr>
    </w:tbl>
    <w:p w:rsidR="00183A73" w:rsidRPr="006E503B" w:rsidRDefault="00183A73" w:rsidP="00183A73">
      <w:pPr>
        <w:pStyle w:val="Odsekzoznamu"/>
        <w:spacing w:after="0" w:line="240" w:lineRule="auto"/>
        <w:ind w:left="0"/>
        <w:jc w:val="both"/>
        <w:rPr>
          <w:rFonts w:cs="Arial"/>
        </w:rPr>
      </w:pPr>
    </w:p>
    <w:p w:rsidR="0004647E" w:rsidRPr="006E503B" w:rsidRDefault="0004647E" w:rsidP="00183A73">
      <w:pPr>
        <w:pStyle w:val="Odsekzoznamu"/>
        <w:spacing w:after="0" w:line="240" w:lineRule="auto"/>
        <w:ind w:left="0"/>
        <w:jc w:val="both"/>
        <w:rPr>
          <w:rFonts w:cs="Arial"/>
        </w:rPr>
      </w:pPr>
      <w:r w:rsidRPr="006E503B">
        <w:rPr>
          <w:rFonts w:cs="Arial"/>
        </w:rPr>
        <w:t xml:space="preserve">Poznámka 1: nakoniec sa pri podskupine 51 použije KAP = 0,974, ktorý nemá žiaden vzťah k danej univerzite – je to priemer za celé Slovensko. </w:t>
      </w:r>
    </w:p>
    <w:p w:rsidR="00183A73" w:rsidRPr="006E503B" w:rsidRDefault="00183A73" w:rsidP="00183A73">
      <w:pPr>
        <w:pStyle w:val="Odsekzoznamu"/>
        <w:spacing w:after="0" w:line="240" w:lineRule="auto"/>
        <w:ind w:left="0"/>
        <w:jc w:val="both"/>
        <w:rPr>
          <w:rFonts w:cs="Arial"/>
        </w:rPr>
      </w:pPr>
    </w:p>
    <w:p w:rsidR="0004647E" w:rsidRPr="006E503B" w:rsidRDefault="0004647E" w:rsidP="00183A73">
      <w:pPr>
        <w:pStyle w:val="Odsekzoznamu"/>
        <w:spacing w:after="0" w:line="240" w:lineRule="auto"/>
        <w:ind w:left="0"/>
        <w:jc w:val="both"/>
        <w:rPr>
          <w:rFonts w:cs="Arial"/>
        </w:rPr>
      </w:pPr>
      <w:r w:rsidRPr="006E503B">
        <w:rPr>
          <w:rFonts w:cs="Arial"/>
        </w:rPr>
        <w:t>Poznámka 2: pri podskupine 75 nie je jasné, prečo je počet absolventov 0, keďže v záložke T5a-abs je na danej univerzite 164 absolventov (90 denných, 74 externých)</w:t>
      </w:r>
    </w:p>
    <w:p w:rsidR="0004647E" w:rsidRPr="006E503B" w:rsidRDefault="0004647E" w:rsidP="0004647E">
      <w:pPr>
        <w:pStyle w:val="Odsekzoznamu"/>
        <w:spacing w:after="0" w:line="240" w:lineRule="auto"/>
        <w:ind w:left="0" w:firstLine="360"/>
        <w:jc w:val="both"/>
        <w:rPr>
          <w:rFonts w:cs="Arial"/>
        </w:rPr>
      </w:pPr>
    </w:p>
    <w:p w:rsidR="0004647E" w:rsidRPr="006E503B" w:rsidRDefault="0004647E" w:rsidP="00183A73">
      <w:pPr>
        <w:pStyle w:val="Odsekzoznamu"/>
        <w:spacing w:after="0" w:line="240" w:lineRule="auto"/>
        <w:ind w:left="0"/>
        <w:jc w:val="both"/>
        <w:rPr>
          <w:rFonts w:cs="Arial"/>
          <w:i/>
        </w:rPr>
      </w:pPr>
      <w:r w:rsidRPr="006E503B">
        <w:rPr>
          <w:rFonts w:cs="Arial"/>
          <w:b/>
          <w:i/>
        </w:rPr>
        <w:lastRenderedPageBreak/>
        <w:t>Návrh: Pre výpočet KAP pre podskupinu použiť KAP určený na základe podielu počtu evidovaných nezamestnaných spolu na druhom a treťom stupni a počtu absolventov na týchto stupňoch.</w:t>
      </w:r>
      <w:r w:rsidRPr="006E503B">
        <w:rPr>
          <w:rFonts w:cs="Arial"/>
          <w:i/>
        </w:rPr>
        <w:t xml:space="preserve"> </w:t>
      </w:r>
    </w:p>
    <w:p w:rsidR="0004647E" w:rsidRPr="006E503B" w:rsidRDefault="0004647E" w:rsidP="0004647E">
      <w:pPr>
        <w:pStyle w:val="Odsekzoznamu"/>
        <w:spacing w:after="0" w:line="240" w:lineRule="auto"/>
        <w:ind w:left="0" w:firstLine="360"/>
        <w:jc w:val="both"/>
        <w:rPr>
          <w:rFonts w:cs="Arial"/>
        </w:rPr>
      </w:pPr>
    </w:p>
    <w:p w:rsidR="0004647E" w:rsidRDefault="0004647E" w:rsidP="00183A73">
      <w:pPr>
        <w:pStyle w:val="Odsekzoznamu"/>
        <w:spacing w:after="0" w:line="240" w:lineRule="auto"/>
        <w:ind w:left="0"/>
        <w:jc w:val="both"/>
        <w:rPr>
          <w:rFonts w:cs="Arial"/>
        </w:rPr>
      </w:pPr>
      <w:r w:rsidRPr="006E503B">
        <w:rPr>
          <w:rFonts w:cs="Arial"/>
        </w:rPr>
        <w:t xml:space="preserve">Stále pretrváva problém, že tento koeficient je ovplyvnený aj mierou nezamestnanosti v danom regióne. </w:t>
      </w:r>
    </w:p>
    <w:p w:rsidR="00B52E16" w:rsidRPr="006E503B" w:rsidRDefault="00B52E16" w:rsidP="00183A73">
      <w:pPr>
        <w:pStyle w:val="Odsekzoznamu"/>
        <w:spacing w:after="0" w:line="240" w:lineRule="auto"/>
        <w:ind w:left="0"/>
        <w:jc w:val="both"/>
        <w:rPr>
          <w:rFonts w:cs="Arial"/>
        </w:rPr>
      </w:pPr>
    </w:p>
    <w:p w:rsidR="0004647E" w:rsidRPr="006E503B" w:rsidRDefault="0004647E" w:rsidP="00183A73">
      <w:pPr>
        <w:pStyle w:val="Odsekzoznamu"/>
        <w:spacing w:after="0" w:line="240" w:lineRule="auto"/>
        <w:ind w:left="0"/>
        <w:jc w:val="both"/>
        <w:rPr>
          <w:rFonts w:cs="Arial"/>
        </w:rPr>
      </w:pPr>
      <w:r w:rsidRPr="006E503B">
        <w:rPr>
          <w:rFonts w:cs="Arial"/>
        </w:rPr>
        <w:t xml:space="preserve">Ďalším problémom je určenie KAP pre medziodborové štúdium, keď sa toto určí iba podľa jedného z odborov. </w:t>
      </w:r>
    </w:p>
    <w:p w:rsidR="0004647E" w:rsidRPr="006E503B" w:rsidRDefault="0004647E" w:rsidP="0004647E">
      <w:pPr>
        <w:pStyle w:val="Odsekzoznamu"/>
        <w:spacing w:after="0" w:line="240" w:lineRule="auto"/>
        <w:ind w:left="0" w:firstLine="360"/>
        <w:jc w:val="both"/>
        <w:rPr>
          <w:rFonts w:cs="Arial"/>
        </w:rPr>
      </w:pPr>
    </w:p>
    <w:p w:rsidR="0004647E" w:rsidRPr="006E503B" w:rsidRDefault="0004647E" w:rsidP="00183A73">
      <w:pPr>
        <w:pStyle w:val="Odsekzoznamu"/>
        <w:spacing w:after="0" w:line="240" w:lineRule="auto"/>
        <w:ind w:left="0"/>
        <w:jc w:val="both"/>
        <w:rPr>
          <w:rFonts w:cs="Arial"/>
          <w:i/>
        </w:rPr>
      </w:pPr>
      <w:r w:rsidRPr="006E503B">
        <w:rPr>
          <w:rFonts w:cs="Arial"/>
          <w:b/>
          <w:i/>
        </w:rPr>
        <w:t>Návrh:</w:t>
      </w:r>
      <w:r w:rsidRPr="006E503B">
        <w:rPr>
          <w:rFonts w:cs="Arial"/>
          <w:i/>
        </w:rPr>
        <w:t xml:space="preserve"> </w:t>
      </w:r>
      <w:r w:rsidRPr="006E503B">
        <w:rPr>
          <w:rFonts w:cs="Arial"/>
          <w:b/>
          <w:i/>
        </w:rPr>
        <w:t>Pri medziodborovom štúdiu použiť výpočet KAP ako aritmetický priemer KAP oboch odborov (teda rovnako ako pri učiteľskom štúdiu).</w:t>
      </w:r>
      <w:r w:rsidRPr="006E503B">
        <w:rPr>
          <w:rFonts w:cs="Arial"/>
          <w:i/>
        </w:rPr>
        <w:t xml:space="preserve"> </w:t>
      </w:r>
    </w:p>
    <w:p w:rsidR="0004647E" w:rsidRPr="006E503B" w:rsidRDefault="0004647E" w:rsidP="00183A73">
      <w:pPr>
        <w:spacing w:after="0" w:line="240" w:lineRule="auto"/>
        <w:jc w:val="both"/>
        <w:rPr>
          <w:rFonts w:cs="Arial"/>
        </w:rPr>
      </w:pPr>
    </w:p>
    <w:p w:rsidR="00212A17" w:rsidRPr="006E503B" w:rsidRDefault="00212A17" w:rsidP="00E45F2A">
      <w:pPr>
        <w:pStyle w:val="Default"/>
        <w:rPr>
          <w:rFonts w:asciiTheme="minorHAnsi" w:hAnsiTheme="minorHAnsi"/>
          <w:sz w:val="22"/>
          <w:szCs w:val="22"/>
          <w:u w:val="single"/>
        </w:rPr>
      </w:pPr>
      <w:r w:rsidRPr="006E503B">
        <w:rPr>
          <w:rFonts w:asciiTheme="minorHAnsi" w:hAnsiTheme="minorHAnsi"/>
          <w:sz w:val="22"/>
          <w:szCs w:val="22"/>
          <w:u w:val="single"/>
        </w:rPr>
        <w:t>Taktiež predkladá: Prešovská un</w:t>
      </w:r>
      <w:r w:rsidR="00AB7AE9" w:rsidRPr="006E503B">
        <w:rPr>
          <w:rFonts w:asciiTheme="minorHAnsi" w:hAnsiTheme="minorHAnsi"/>
          <w:sz w:val="22"/>
          <w:szCs w:val="22"/>
          <w:u w:val="single"/>
        </w:rPr>
        <w:t xml:space="preserve">iverzita </w:t>
      </w:r>
      <w:r w:rsidRPr="006E503B">
        <w:rPr>
          <w:rFonts w:asciiTheme="minorHAnsi" w:hAnsiTheme="minorHAnsi"/>
          <w:sz w:val="22"/>
          <w:szCs w:val="22"/>
          <w:u w:val="single"/>
        </w:rPr>
        <w:t>v Prešove</w:t>
      </w:r>
    </w:p>
    <w:p w:rsidR="00212A17" w:rsidRPr="006E503B" w:rsidRDefault="00212A17" w:rsidP="00212A17">
      <w:pPr>
        <w:spacing w:after="0" w:line="240" w:lineRule="auto"/>
        <w:jc w:val="both"/>
      </w:pPr>
      <w:r w:rsidRPr="006E503B">
        <w:t>Bod (26) Koeficient uplatnenia absolventov vysokej školy v odbore (KAP) nezohľadňuje regionálne špecifiká trhu práce. Objektivizácia parametra je možná pomerovým ukazovateľom miery absolventskej nezamestnanosti absolventov vysokej školy k miere nezamestnanosti v regióne dominantnej pôsobnosti vysokej školy, resp. jej súčasti.</w:t>
      </w:r>
    </w:p>
    <w:p w:rsidR="00212A17" w:rsidRDefault="00212A17" w:rsidP="00E45F2A">
      <w:pPr>
        <w:pStyle w:val="Default"/>
        <w:rPr>
          <w:rFonts w:asciiTheme="minorHAnsi" w:hAnsiTheme="minorHAnsi"/>
          <w:b/>
          <w:sz w:val="22"/>
          <w:szCs w:val="22"/>
        </w:rPr>
      </w:pPr>
    </w:p>
    <w:p w:rsidR="00B52E16" w:rsidRPr="00B52E16" w:rsidRDefault="00B52E16" w:rsidP="00E45F2A">
      <w:pPr>
        <w:pStyle w:val="Default"/>
        <w:rPr>
          <w:rFonts w:asciiTheme="minorHAnsi" w:hAnsiTheme="minorHAnsi"/>
          <w:sz w:val="22"/>
          <w:szCs w:val="22"/>
          <w:u w:val="single"/>
        </w:rPr>
      </w:pPr>
      <w:r w:rsidRPr="00B52E16">
        <w:rPr>
          <w:rFonts w:asciiTheme="minorHAnsi" w:hAnsiTheme="minorHAnsi"/>
          <w:sz w:val="22"/>
          <w:szCs w:val="22"/>
          <w:u w:val="single"/>
        </w:rPr>
        <w:t>Taktiež bod 4</w:t>
      </w:r>
    </w:p>
    <w:p w:rsidR="00B52E16" w:rsidRPr="006E503B" w:rsidRDefault="00B52E16" w:rsidP="00E45F2A">
      <w:pPr>
        <w:pStyle w:val="Default"/>
        <w:rPr>
          <w:rFonts w:asciiTheme="minorHAnsi" w:hAnsiTheme="minorHAnsi"/>
          <w:b/>
          <w:sz w:val="22"/>
          <w:szCs w:val="22"/>
        </w:rPr>
      </w:pPr>
    </w:p>
    <w:p w:rsidR="0004647E" w:rsidRPr="006E503B" w:rsidRDefault="0004647E" w:rsidP="0004647E">
      <w:pPr>
        <w:spacing w:after="0" w:line="240" w:lineRule="auto"/>
        <w:jc w:val="both"/>
        <w:rPr>
          <w:rFonts w:cs="Arial"/>
          <w:b/>
        </w:rPr>
      </w:pPr>
      <w:r w:rsidRPr="006E503B">
        <w:rPr>
          <w:rFonts w:cs="Arial"/>
          <w:b/>
        </w:rPr>
        <w:t xml:space="preserve">Bod </w:t>
      </w:r>
      <w:r w:rsidR="00EA1D03">
        <w:rPr>
          <w:rFonts w:cs="Arial"/>
          <w:b/>
        </w:rPr>
        <w:t>6</w:t>
      </w:r>
      <w:r w:rsidRPr="006E503B">
        <w:rPr>
          <w:rFonts w:cs="Arial"/>
          <w:b/>
        </w:rPr>
        <w:t xml:space="preserve"> Korekcia z titulu opráv v CRŠ</w:t>
      </w:r>
    </w:p>
    <w:p w:rsidR="0004647E" w:rsidRPr="006E503B" w:rsidRDefault="0004647E" w:rsidP="0004647E">
      <w:pPr>
        <w:pStyle w:val="Bezriadkovania"/>
        <w:rPr>
          <w:u w:val="single"/>
        </w:rPr>
      </w:pPr>
      <w:r w:rsidRPr="006E503B">
        <w:rPr>
          <w:u w:val="single"/>
        </w:rPr>
        <w:t>Predkladá: Univerzita P. J. Šafárika v Košiciach</w:t>
      </w:r>
    </w:p>
    <w:p w:rsidR="0004647E" w:rsidRPr="006E503B" w:rsidRDefault="0004647E" w:rsidP="00CD08E1">
      <w:pPr>
        <w:pStyle w:val="Odsekzoznamu"/>
        <w:spacing w:after="0" w:line="240" w:lineRule="auto"/>
        <w:ind w:left="0"/>
        <w:jc w:val="both"/>
        <w:rPr>
          <w:rFonts w:cs="Arial"/>
        </w:rPr>
      </w:pPr>
      <w:r w:rsidRPr="006E503B">
        <w:rPr>
          <w:rFonts w:cs="Arial"/>
        </w:rPr>
        <w:t xml:space="preserve">Prečo sa rozdiel rozpíše podľa výkonov len medzi ostatné vysoké školy? Z daného rozdielu predsa niečo podľa výkonov prislúcha aj tým školám, ktoré urobili pri zasielaní údajov chybu. Tabuľka korekcií sa nedá odkontrolovať. </w:t>
      </w:r>
    </w:p>
    <w:p w:rsidR="0004647E" w:rsidRPr="006E503B" w:rsidRDefault="0004647E" w:rsidP="0004647E">
      <w:pPr>
        <w:pStyle w:val="Odsekzoznamu"/>
        <w:spacing w:after="0" w:line="240" w:lineRule="auto"/>
        <w:ind w:left="360"/>
        <w:jc w:val="both"/>
        <w:rPr>
          <w:rFonts w:cs="Arial"/>
        </w:rPr>
      </w:pPr>
    </w:p>
    <w:p w:rsidR="00B52E16" w:rsidRPr="00B52E16" w:rsidRDefault="00B52E16" w:rsidP="00B52E16">
      <w:pPr>
        <w:pStyle w:val="Default"/>
        <w:rPr>
          <w:rFonts w:asciiTheme="minorHAnsi" w:hAnsiTheme="minorHAnsi"/>
          <w:sz w:val="22"/>
          <w:szCs w:val="22"/>
          <w:u w:val="single"/>
        </w:rPr>
      </w:pPr>
      <w:r w:rsidRPr="00B52E16">
        <w:rPr>
          <w:rFonts w:asciiTheme="minorHAnsi" w:hAnsiTheme="minorHAnsi"/>
          <w:sz w:val="22"/>
          <w:szCs w:val="22"/>
          <w:u w:val="single"/>
        </w:rPr>
        <w:t>Taktiež bod 4</w:t>
      </w:r>
    </w:p>
    <w:p w:rsidR="00B52E16" w:rsidRDefault="00B52E16" w:rsidP="009227AE">
      <w:pPr>
        <w:spacing w:after="0" w:line="240" w:lineRule="auto"/>
        <w:jc w:val="both"/>
        <w:rPr>
          <w:rFonts w:cs="Arial"/>
          <w:b/>
        </w:rPr>
      </w:pPr>
    </w:p>
    <w:p w:rsidR="0004647E" w:rsidRPr="006E503B" w:rsidRDefault="009227AE" w:rsidP="009227AE">
      <w:pPr>
        <w:spacing w:after="0" w:line="240" w:lineRule="auto"/>
        <w:jc w:val="both"/>
        <w:rPr>
          <w:rFonts w:cs="Arial"/>
          <w:b/>
        </w:rPr>
      </w:pPr>
      <w:r w:rsidRPr="006E503B">
        <w:rPr>
          <w:rFonts w:cs="Arial"/>
          <w:b/>
        </w:rPr>
        <w:t xml:space="preserve">Bod </w:t>
      </w:r>
      <w:r w:rsidR="00EA1D03">
        <w:rPr>
          <w:rFonts w:cs="Arial"/>
          <w:b/>
        </w:rPr>
        <w:t xml:space="preserve">7 </w:t>
      </w:r>
      <w:r w:rsidRPr="006E503B">
        <w:rPr>
          <w:rFonts w:cs="Arial"/>
          <w:b/>
        </w:rPr>
        <w:t>Dotácia na výskumnú, vývojovú alebo umeleckú činnosť</w:t>
      </w:r>
    </w:p>
    <w:p w:rsidR="009227AE" w:rsidRPr="006E503B" w:rsidRDefault="009227AE" w:rsidP="009227AE">
      <w:pPr>
        <w:spacing w:after="0" w:line="240" w:lineRule="auto"/>
        <w:jc w:val="both"/>
        <w:rPr>
          <w:rFonts w:cs="Arial"/>
          <w:u w:val="single"/>
        </w:rPr>
      </w:pPr>
      <w:r w:rsidRPr="006E503B">
        <w:rPr>
          <w:rFonts w:cs="Arial"/>
          <w:u w:val="single"/>
        </w:rPr>
        <w:t>Predkladá: Ekonomická univerzita v Bratislave</w:t>
      </w:r>
    </w:p>
    <w:p w:rsidR="009227AE" w:rsidRPr="009227AE" w:rsidRDefault="009227AE" w:rsidP="009227AE">
      <w:pPr>
        <w:autoSpaceDE w:val="0"/>
        <w:autoSpaceDN w:val="0"/>
        <w:adjustRightInd w:val="0"/>
        <w:spacing w:after="0" w:line="240" w:lineRule="auto"/>
      </w:pPr>
      <w:r w:rsidRPr="009227AE">
        <w:t>Ods. (51) písm. b), c), d) – str</w:t>
      </w:r>
      <w:r w:rsidRPr="006E503B">
        <w:t xml:space="preserve">. </w:t>
      </w:r>
      <w:r w:rsidRPr="009227AE">
        <w:t xml:space="preserve">11 metodiky </w:t>
      </w:r>
    </w:p>
    <w:p w:rsidR="009227AE" w:rsidRPr="006E503B" w:rsidRDefault="009227AE" w:rsidP="009227AE">
      <w:pPr>
        <w:spacing w:after="0" w:line="240" w:lineRule="auto"/>
        <w:jc w:val="both"/>
      </w:pPr>
      <w:r w:rsidRPr="006E503B">
        <w:t>Napriek opakovaným pripomienkam zo strany Rady vysokých škôl, ktoré sa týkajú návrhu používať kritériá posudzovania vedeckovýskumných výstupov podľa skupiny vedných odborov, konštatujeme, že jej návrh nebol ani v návrhu rozpočtu na rok 2016 zohľadnený. Tento spôsob posudzovania výskumných aktivít vysokých škôl dlhodobo znevýhodňuje univerzity s ekonomickým, resp. spoločenskovedným zameraním.</w:t>
      </w:r>
    </w:p>
    <w:p w:rsidR="009227AE" w:rsidRPr="006E503B" w:rsidRDefault="009227AE" w:rsidP="009227AE">
      <w:pPr>
        <w:spacing w:after="0" w:line="240" w:lineRule="auto"/>
        <w:jc w:val="both"/>
        <w:rPr>
          <w:rFonts w:cs="Arial"/>
        </w:rPr>
      </w:pPr>
    </w:p>
    <w:p w:rsidR="001E2E31" w:rsidRPr="006E503B" w:rsidRDefault="001E2E31" w:rsidP="009227AE">
      <w:pPr>
        <w:spacing w:after="0" w:line="240" w:lineRule="auto"/>
        <w:jc w:val="both"/>
        <w:rPr>
          <w:rFonts w:cs="Arial"/>
          <w:u w:val="single"/>
        </w:rPr>
      </w:pPr>
      <w:r w:rsidRPr="006E503B">
        <w:rPr>
          <w:rFonts w:cs="Arial"/>
          <w:u w:val="single"/>
        </w:rPr>
        <w:t>Predkladá: Trnavská univerzita v Trnave</w:t>
      </w:r>
    </w:p>
    <w:p w:rsidR="004D78FE" w:rsidRPr="006E503B" w:rsidRDefault="001E2E31" w:rsidP="009227AE">
      <w:pPr>
        <w:spacing w:after="0" w:line="240" w:lineRule="auto"/>
        <w:jc w:val="both"/>
        <w:rPr>
          <w:rFonts w:cs="Arial"/>
        </w:rPr>
      </w:pPr>
      <w:r w:rsidRPr="006E503B">
        <w:rPr>
          <w:rFonts w:cs="Arial"/>
        </w:rPr>
        <w:t>Kritériá zadeľovania publikácií do kategórií A, B, C1, C2 by mohli byť rovnaké ako pre potreby akreditácie.</w:t>
      </w:r>
    </w:p>
    <w:p w:rsidR="004D78FE" w:rsidRPr="006E503B" w:rsidRDefault="004D78FE" w:rsidP="009227AE">
      <w:pPr>
        <w:spacing w:after="0" w:line="240" w:lineRule="auto"/>
        <w:jc w:val="both"/>
        <w:rPr>
          <w:rFonts w:cs="Arial"/>
        </w:rPr>
      </w:pPr>
    </w:p>
    <w:p w:rsidR="001E2E31" w:rsidRPr="006E503B" w:rsidRDefault="004D78FE" w:rsidP="009227AE">
      <w:pPr>
        <w:spacing w:after="0" w:line="240" w:lineRule="auto"/>
        <w:jc w:val="both"/>
        <w:rPr>
          <w:rFonts w:cs="Arial"/>
          <w:u w:val="single"/>
        </w:rPr>
      </w:pPr>
      <w:r w:rsidRPr="006E503B">
        <w:rPr>
          <w:rFonts w:cs="Arial"/>
          <w:u w:val="single"/>
        </w:rPr>
        <w:t>Predkladá Univerzita sv. Cyrila a Metoda v Trnave</w:t>
      </w:r>
    </w:p>
    <w:p w:rsidR="004D78FE" w:rsidRPr="006E503B" w:rsidRDefault="004D78FE" w:rsidP="004D78FE">
      <w:pPr>
        <w:pStyle w:val="Bezriadkovania"/>
      </w:pPr>
      <w:r w:rsidRPr="006E503B">
        <w:t>K návrhu metodiky nemáme zásadné pripomienky, ale dovolíme si dať do pozornosti nasledovné skutočnosti:</w:t>
      </w:r>
    </w:p>
    <w:p w:rsidR="004D78FE" w:rsidRPr="006E503B" w:rsidRDefault="004D78FE" w:rsidP="004D78FE">
      <w:pPr>
        <w:pStyle w:val="Bezriadkovania"/>
        <w:numPr>
          <w:ilvl w:val="0"/>
          <w:numId w:val="7"/>
        </w:numPr>
        <w:rPr>
          <w:rFonts w:cs="Arial"/>
        </w:rPr>
      </w:pPr>
      <w:r w:rsidRPr="006E503B">
        <w:t>v rámci dotácie na výskumnú, vývojovú alebo umeleckú činnosť upraviť pomer pri domácich grantoch na úroveň roku 2014 t. j. 10 %,</w:t>
      </w:r>
    </w:p>
    <w:p w:rsidR="001E2E31" w:rsidRPr="006E503B" w:rsidRDefault="001E2E31" w:rsidP="009227AE">
      <w:pPr>
        <w:spacing w:after="0" w:line="240" w:lineRule="auto"/>
        <w:jc w:val="both"/>
        <w:rPr>
          <w:rFonts w:cs="Arial"/>
        </w:rPr>
      </w:pPr>
    </w:p>
    <w:p w:rsidR="0004647E" w:rsidRPr="006E503B" w:rsidRDefault="0004647E" w:rsidP="0004647E">
      <w:pPr>
        <w:spacing w:after="0" w:line="240" w:lineRule="auto"/>
        <w:jc w:val="both"/>
        <w:rPr>
          <w:rFonts w:cs="Arial"/>
          <w:b/>
        </w:rPr>
      </w:pPr>
      <w:r w:rsidRPr="006E503B">
        <w:rPr>
          <w:rFonts w:cs="Arial"/>
          <w:b/>
        </w:rPr>
        <w:t xml:space="preserve">Bod </w:t>
      </w:r>
      <w:r w:rsidR="00EA1D03">
        <w:rPr>
          <w:rFonts w:cs="Arial"/>
          <w:b/>
        </w:rPr>
        <w:t>8</w:t>
      </w:r>
      <w:r w:rsidRPr="006E503B">
        <w:rPr>
          <w:rFonts w:cs="Arial"/>
          <w:b/>
        </w:rPr>
        <w:t xml:space="preserve"> Komplexná akreditácia</w:t>
      </w:r>
    </w:p>
    <w:p w:rsidR="006F13BB" w:rsidRPr="006E503B" w:rsidRDefault="006F13BB" w:rsidP="006F13BB">
      <w:pPr>
        <w:spacing w:after="0" w:line="240" w:lineRule="auto"/>
        <w:jc w:val="both"/>
        <w:rPr>
          <w:rFonts w:cs="Arial"/>
          <w:u w:val="single"/>
        </w:rPr>
      </w:pPr>
      <w:r w:rsidRPr="006E503B">
        <w:rPr>
          <w:rFonts w:cs="Arial"/>
          <w:u w:val="single"/>
        </w:rPr>
        <w:t>Predkladá: Ekonomická univerzita v Bratislave</w:t>
      </w:r>
    </w:p>
    <w:p w:rsidR="006F13BB" w:rsidRPr="006F13BB" w:rsidRDefault="006F13BB" w:rsidP="006F13BB">
      <w:pPr>
        <w:autoSpaceDE w:val="0"/>
        <w:autoSpaceDN w:val="0"/>
        <w:adjustRightInd w:val="0"/>
        <w:spacing w:after="0" w:line="240" w:lineRule="auto"/>
      </w:pPr>
      <w:r w:rsidRPr="006F13BB">
        <w:t>Ods. (53) – str</w:t>
      </w:r>
      <w:r w:rsidRPr="006E503B">
        <w:t xml:space="preserve">. </w:t>
      </w:r>
      <w:r w:rsidRPr="006F13BB">
        <w:t xml:space="preserve">12 metodiky </w:t>
      </w:r>
    </w:p>
    <w:p w:rsidR="006F13BB" w:rsidRPr="006E503B" w:rsidRDefault="006F13BB" w:rsidP="006F13BB">
      <w:pPr>
        <w:pStyle w:val="Bezriadkovania"/>
        <w:rPr>
          <w:b/>
        </w:rPr>
      </w:pPr>
      <w:r w:rsidRPr="006E503B">
        <w:t xml:space="preserve">Spôsob, ktorý mení zohľadňovanie výsledkov hodnotenia kvality výskumnej činnosti verejnej vysokej školy podľa poslednej komplexnej akreditácie a ktorý vyjadruje profil kvality podľa vzorca (k-1) 2, je </w:t>
      </w:r>
      <w:r w:rsidRPr="006E503B">
        <w:lastRenderedPageBreak/>
        <w:t xml:space="preserve">nejasný. Vzhľadom k tomu, že proces komplexnej akreditácie nie je definitívne uzavretý (lehoty na odstránenie nedostatkov), </w:t>
      </w:r>
      <w:r w:rsidRPr="006E503B">
        <w:rPr>
          <w:b/>
        </w:rPr>
        <w:t>navrhujeme postupovať podľa pravidiel rozpisu rozpočtu pre rok 2015.</w:t>
      </w:r>
    </w:p>
    <w:p w:rsidR="006F13BB" w:rsidRPr="006E503B" w:rsidRDefault="006F13BB" w:rsidP="0004647E">
      <w:pPr>
        <w:pStyle w:val="Bezriadkovania"/>
        <w:rPr>
          <w:u w:val="single"/>
        </w:rPr>
      </w:pPr>
    </w:p>
    <w:p w:rsidR="00212A17" w:rsidRPr="006E503B" w:rsidRDefault="00212A17" w:rsidP="0004647E">
      <w:pPr>
        <w:spacing w:after="0" w:line="240" w:lineRule="auto"/>
        <w:jc w:val="both"/>
        <w:rPr>
          <w:rFonts w:cs="Arial"/>
          <w:u w:val="single"/>
        </w:rPr>
      </w:pPr>
      <w:r w:rsidRPr="006E503B">
        <w:rPr>
          <w:rFonts w:cs="Arial"/>
          <w:u w:val="single"/>
        </w:rPr>
        <w:t>Taktiež: Predkladá: Prešovská univerzita v Prešove</w:t>
      </w:r>
    </w:p>
    <w:p w:rsidR="00212A17" w:rsidRPr="006E503B" w:rsidRDefault="00212A17" w:rsidP="00212A17">
      <w:pPr>
        <w:pStyle w:val="Bezriadkovania"/>
      </w:pPr>
      <w:r w:rsidRPr="006E503B">
        <w:rPr>
          <w:b/>
        </w:rPr>
        <w:t>V bode (53) číselne vyjadrený profil kvality ponechať identický s rokom 2015.</w:t>
      </w:r>
      <w:r w:rsidRPr="006E503B">
        <w:t xml:space="preserve"> Navrhnutá modifikácia vzorca nebola predmetom diskusií pred jeho implementovaním do metodiky rozpočtu.  Aj v pôvodnom tvare vzorca, ktorý bol aplikovaný v rozpočte pre rok 2015 sú zohľadnené absolútne výsledky komplexnej akreditácie. Nie je teda dôvod na modifikáciu daného vzorca. Modifikácia vzorca spôsobuje vysoký nárast smerodajnej odchýlky absolútnych hodnôt objemu zdrojov jednotlivých VŠ oproti stavu pôvodnej metodiky, čo zrejme nie je z hľadiska udržateľnosti a dlhodobých trendov financovania celkom správne. </w:t>
      </w:r>
    </w:p>
    <w:p w:rsidR="00212A17" w:rsidRPr="006E503B" w:rsidRDefault="00212A17" w:rsidP="00212A17">
      <w:pPr>
        <w:pStyle w:val="Bezriadkovania"/>
      </w:pPr>
      <w:r w:rsidRPr="006E503B">
        <w:t xml:space="preserve">Výsledky komplexnej akreditácie by nemali byť korigované takýmito zásahmi, osobitne keď proces KA je vnímaný ako strategický, s možnosťou diferencovaného financovania vysokých škôl podľa ich zaradenia. V danom prípade tak pri zmenenej metodike dochádza k tomu, že spomedzi 14 VŠ, ktoré podľa záverov KA získali zaradenie medzi univerzitné vysoké školy (čo predpokladá najvyšší profil kvality hodnotených oblastí KA), len 5 VŠ má nárast podielu VŠ na výkone podľa KA vyjadrenom týmto modifikovaným ukazovateľom.  Pri ponechaní pôvodného vzorca pre výpočet  podielu VŠ na výkone podľa KA je týchto škôl 7, t. j. 50%. </w:t>
      </w:r>
    </w:p>
    <w:p w:rsidR="00212A17" w:rsidRPr="006E503B" w:rsidRDefault="00212A17" w:rsidP="00212A17">
      <w:pPr>
        <w:pStyle w:val="Bezriadkovania"/>
      </w:pPr>
      <w:r w:rsidRPr="006E503B">
        <w:t>V prípade zámeru zvýšiť význam hodnotenia KA a tento premietnuť do financovania, je možné uvažovať s kategorizáciou financovania podľa zaradenia VŠ, nie administratívnou úpravou vzorca.</w:t>
      </w:r>
    </w:p>
    <w:p w:rsidR="00212A17" w:rsidRPr="006E503B" w:rsidRDefault="00212A17" w:rsidP="00212A17">
      <w:pPr>
        <w:pStyle w:val="Bezriadkovania"/>
      </w:pPr>
    </w:p>
    <w:p w:rsidR="00212A17" w:rsidRPr="006E503B" w:rsidRDefault="00212A17" w:rsidP="00212A17">
      <w:pPr>
        <w:pStyle w:val="Bezriadkovania"/>
        <w:rPr>
          <w:color w:val="auto"/>
        </w:rPr>
      </w:pPr>
      <w:r w:rsidRPr="006E503B">
        <w:rPr>
          <w:color w:val="auto"/>
        </w:rPr>
        <w:t xml:space="preserve">Celkový objem finančných zdrojov v danej kategórii (Podiel pre rozpis podľa akreditácie) oproti roku 2015 zaznamenal nárast o cca 5%, čo treba len privítať. Porovnaním absolútnej zmeny v príjmoch jednotlivých vysokých škôl v danej kategórii príjmov navrhovanou metodikou výpočtu profilu kvality a výpočtom profilu kvality z minulého roka možno konštatovať, že len 6 VŠ spomedzi 19 (UJS vzhľadom na absenciu podkladových údajov hodnotená nebola) zaznamenalo zmenou danej metodiky zvýšenie príjmov a až 13 VŠ zníženie. Z uvedených 13 VŠ bolo 7 škôl zaradených medzi univerzitné VŠ. </w:t>
      </w:r>
    </w:p>
    <w:p w:rsidR="00212A17" w:rsidRPr="006E503B" w:rsidRDefault="00212A17" w:rsidP="0004647E">
      <w:pPr>
        <w:spacing w:after="0" w:line="240" w:lineRule="auto"/>
        <w:jc w:val="both"/>
        <w:rPr>
          <w:rFonts w:cs="Arial"/>
        </w:rPr>
      </w:pPr>
    </w:p>
    <w:p w:rsidR="00212A17" w:rsidRPr="006E503B" w:rsidRDefault="00212A17" w:rsidP="00212A17">
      <w:pPr>
        <w:pStyle w:val="Bezriadkovania"/>
        <w:rPr>
          <w:u w:val="single"/>
        </w:rPr>
      </w:pPr>
      <w:r w:rsidRPr="006E503B">
        <w:rPr>
          <w:u w:val="single"/>
        </w:rPr>
        <w:t>Predkladá: Univerzita P. J. Šafárika v Košiciach</w:t>
      </w:r>
    </w:p>
    <w:p w:rsidR="00212A17" w:rsidRPr="006E503B" w:rsidRDefault="00212A17" w:rsidP="00212A17">
      <w:pPr>
        <w:pStyle w:val="Odsekzoznamu"/>
        <w:spacing w:after="0" w:line="240" w:lineRule="auto"/>
        <w:ind w:left="0"/>
        <w:jc w:val="both"/>
        <w:rPr>
          <w:rFonts w:cs="Arial"/>
        </w:rPr>
      </w:pPr>
      <w:r w:rsidRPr="006E503B">
        <w:rPr>
          <w:rFonts w:cs="Arial"/>
        </w:rPr>
        <w:t xml:space="preserve">Má sa zohľadňovať priemerná výskumná kapacita za hodnotené obdobie, ale v skutočnosti sa zohľadňujú iba TP, ktorí boli zaradení do KA. </w:t>
      </w:r>
    </w:p>
    <w:p w:rsidR="00B52E16" w:rsidRDefault="00B52E16" w:rsidP="00B52E16">
      <w:pPr>
        <w:pStyle w:val="Default"/>
        <w:rPr>
          <w:rFonts w:asciiTheme="minorHAnsi" w:hAnsiTheme="minorHAnsi"/>
          <w:sz w:val="22"/>
          <w:szCs w:val="22"/>
          <w:u w:val="single"/>
        </w:rPr>
      </w:pPr>
    </w:p>
    <w:p w:rsidR="00B52E16" w:rsidRPr="00B52E16" w:rsidRDefault="00B52E16" w:rsidP="00B52E16">
      <w:pPr>
        <w:pStyle w:val="Default"/>
        <w:rPr>
          <w:rFonts w:asciiTheme="minorHAnsi" w:hAnsiTheme="minorHAnsi"/>
          <w:sz w:val="22"/>
          <w:szCs w:val="22"/>
          <w:u w:val="single"/>
        </w:rPr>
      </w:pPr>
      <w:r w:rsidRPr="00B52E16">
        <w:rPr>
          <w:rFonts w:asciiTheme="minorHAnsi" w:hAnsiTheme="minorHAnsi"/>
          <w:sz w:val="22"/>
          <w:szCs w:val="22"/>
          <w:u w:val="single"/>
        </w:rPr>
        <w:t>Taktiež bod 4</w:t>
      </w:r>
    </w:p>
    <w:p w:rsidR="00212A17" w:rsidRPr="006E503B" w:rsidRDefault="00212A17" w:rsidP="00CD08E1">
      <w:pPr>
        <w:spacing w:after="0" w:line="240" w:lineRule="auto"/>
        <w:jc w:val="both"/>
        <w:rPr>
          <w:rFonts w:cs="Arial"/>
          <w:b/>
        </w:rPr>
      </w:pPr>
    </w:p>
    <w:p w:rsidR="0004647E" w:rsidRPr="006E503B" w:rsidRDefault="00CD08E1" w:rsidP="00CD08E1">
      <w:pPr>
        <w:spacing w:after="0" w:line="240" w:lineRule="auto"/>
        <w:jc w:val="both"/>
        <w:rPr>
          <w:rFonts w:cs="Arial"/>
          <w:b/>
        </w:rPr>
      </w:pPr>
      <w:r w:rsidRPr="006E503B">
        <w:rPr>
          <w:rFonts w:cs="Arial"/>
          <w:b/>
        </w:rPr>
        <w:t xml:space="preserve">Bod </w:t>
      </w:r>
      <w:r w:rsidR="00EA1D03">
        <w:rPr>
          <w:rFonts w:cs="Arial"/>
          <w:b/>
        </w:rPr>
        <w:t>9</w:t>
      </w:r>
      <w:r w:rsidRPr="006E503B">
        <w:rPr>
          <w:rFonts w:cs="Arial"/>
          <w:b/>
        </w:rPr>
        <w:t xml:space="preserve"> </w:t>
      </w:r>
      <w:r w:rsidR="0004647E" w:rsidRPr="006E503B">
        <w:rPr>
          <w:rFonts w:cs="Arial"/>
          <w:b/>
        </w:rPr>
        <w:t>Motivačné štipendium pre vybrané študijné odbory</w:t>
      </w:r>
    </w:p>
    <w:p w:rsidR="00CD08E1" w:rsidRPr="006E503B" w:rsidRDefault="00CD08E1" w:rsidP="00CD08E1">
      <w:pPr>
        <w:pStyle w:val="Bezriadkovania"/>
        <w:rPr>
          <w:u w:val="single"/>
        </w:rPr>
      </w:pPr>
      <w:r w:rsidRPr="006E503B">
        <w:rPr>
          <w:u w:val="single"/>
        </w:rPr>
        <w:t>Predkladá: Univerzita P. J. Šafárika v Košiciach</w:t>
      </w:r>
    </w:p>
    <w:p w:rsidR="0004647E" w:rsidRPr="006E503B" w:rsidRDefault="0004647E" w:rsidP="00CD08E1">
      <w:pPr>
        <w:pStyle w:val="Odsekzoznamu"/>
        <w:spacing w:after="0" w:line="240" w:lineRule="auto"/>
        <w:ind w:left="0"/>
        <w:jc w:val="both"/>
        <w:rPr>
          <w:rFonts w:cs="Arial"/>
        </w:rPr>
      </w:pPr>
      <w:r w:rsidRPr="006E503B">
        <w:rPr>
          <w:rFonts w:cs="Arial"/>
        </w:rPr>
        <w:t>Pri medziodborovom štúdiu sa podľa výpočtov v </w:t>
      </w:r>
      <w:proofErr w:type="spellStart"/>
      <w:r w:rsidRPr="006E503B">
        <w:rPr>
          <w:rFonts w:cs="Arial"/>
        </w:rPr>
        <w:t>xlsx</w:t>
      </w:r>
      <w:proofErr w:type="spellEnd"/>
      <w:r w:rsidRPr="006E503B">
        <w:rPr>
          <w:rFonts w:cs="Arial"/>
        </w:rPr>
        <w:t xml:space="preserve"> súbore zohľadňuje len prvý odbor, mali by sa oba. </w:t>
      </w:r>
    </w:p>
    <w:p w:rsidR="0004647E" w:rsidRPr="006E503B" w:rsidRDefault="0004647E" w:rsidP="00622373">
      <w:pPr>
        <w:pStyle w:val="Odsekzoznamu"/>
        <w:spacing w:after="0" w:line="240" w:lineRule="auto"/>
        <w:ind w:left="0"/>
        <w:jc w:val="both"/>
        <w:rPr>
          <w:rFonts w:cs="Arial"/>
        </w:rPr>
      </w:pPr>
      <w:r w:rsidRPr="006E503B">
        <w:rPr>
          <w:rFonts w:cs="Arial"/>
        </w:rPr>
        <w:t>Uplatnenie KAP pri tomto štipe</w:t>
      </w:r>
      <w:r w:rsidR="00CD08E1" w:rsidRPr="006E503B">
        <w:rPr>
          <w:rFonts w:cs="Arial"/>
        </w:rPr>
        <w:t xml:space="preserve">ndiu je minimálne diskutabilné. </w:t>
      </w:r>
      <w:r w:rsidRPr="006E503B">
        <w:rPr>
          <w:rFonts w:cs="Arial"/>
        </w:rPr>
        <w:t xml:space="preserve">Jedným z cieľov bolo motivovať študentov k štúdiu prírodovedne alebo technicky zameraných študijných odborov. Aktuálne ich však ešte viac motivujeme študovať v Bratislave, nie na vysokých školách s dobrým výsledkom z komplexnej akreditácie. </w:t>
      </w:r>
    </w:p>
    <w:p w:rsidR="0004647E" w:rsidRPr="006E503B" w:rsidRDefault="0004647E" w:rsidP="00CD08E1">
      <w:pPr>
        <w:pStyle w:val="Odsekzoznamu"/>
        <w:spacing w:after="0" w:line="240" w:lineRule="auto"/>
        <w:ind w:left="0"/>
        <w:jc w:val="both"/>
        <w:rPr>
          <w:rFonts w:cs="Arial"/>
          <w:i/>
        </w:rPr>
      </w:pPr>
      <w:r w:rsidRPr="006E503B">
        <w:rPr>
          <w:rFonts w:cs="Arial"/>
          <w:b/>
          <w:i/>
        </w:rPr>
        <w:t>Návrh:</w:t>
      </w:r>
      <w:r w:rsidRPr="006E503B">
        <w:rPr>
          <w:rFonts w:cs="Arial"/>
          <w:i/>
        </w:rPr>
        <w:t xml:space="preserve"> </w:t>
      </w:r>
      <w:r w:rsidRPr="006E503B">
        <w:rPr>
          <w:rFonts w:cs="Arial"/>
          <w:b/>
          <w:i/>
        </w:rPr>
        <w:t>Namiesto hranice KAP aspoň 0,9 navrhujeme použiť podmienku KZV1 aspoň 3,50.</w:t>
      </w:r>
      <w:r w:rsidRPr="006E503B">
        <w:rPr>
          <w:rFonts w:cs="Arial"/>
          <w:i/>
        </w:rPr>
        <w:t xml:space="preserve"> </w:t>
      </w:r>
    </w:p>
    <w:p w:rsidR="0004647E" w:rsidRPr="006E503B" w:rsidRDefault="0004647E" w:rsidP="0004647E">
      <w:pPr>
        <w:pStyle w:val="Odsekzoznamu"/>
        <w:spacing w:after="0" w:line="240" w:lineRule="auto"/>
        <w:ind w:left="0" w:firstLine="360"/>
        <w:jc w:val="both"/>
        <w:rPr>
          <w:rFonts w:cs="Arial"/>
        </w:rPr>
      </w:pPr>
    </w:p>
    <w:p w:rsidR="0004647E" w:rsidRPr="006E503B" w:rsidRDefault="0004647E" w:rsidP="00CD08E1">
      <w:pPr>
        <w:pStyle w:val="Odsekzoznamu"/>
        <w:spacing w:after="0" w:line="240" w:lineRule="auto"/>
        <w:ind w:left="0"/>
        <w:jc w:val="both"/>
        <w:rPr>
          <w:rFonts w:cs="Arial"/>
        </w:rPr>
      </w:pPr>
      <w:r w:rsidRPr="006E503B">
        <w:rPr>
          <w:rFonts w:cs="Arial"/>
        </w:rPr>
        <w:t xml:space="preserve">Navrhujeme zamyslieť sa nad možnosťou použiť účelovo pridelené prostriedky na motivačné štipendiá aj pre ďalšie študijné odbory univerzity (z prílohy 2 Metodiky) aj v prípade, že tieto nespĺňajú KAP resp. navrhované KZV1. Mohlo by to byť na rozhodnutí univerzity. </w:t>
      </w:r>
    </w:p>
    <w:p w:rsidR="0004647E" w:rsidRDefault="0004647E" w:rsidP="00B52E16">
      <w:pPr>
        <w:spacing w:after="0" w:line="240" w:lineRule="auto"/>
        <w:jc w:val="both"/>
        <w:rPr>
          <w:rFonts w:cs="Arial"/>
        </w:rPr>
      </w:pPr>
    </w:p>
    <w:p w:rsidR="00B52E16" w:rsidRPr="00B52E16" w:rsidRDefault="00B52E16" w:rsidP="00B52E16">
      <w:pPr>
        <w:spacing w:after="0" w:line="240" w:lineRule="auto"/>
        <w:jc w:val="both"/>
        <w:rPr>
          <w:rFonts w:cs="Arial"/>
          <w:b/>
        </w:rPr>
      </w:pPr>
      <w:r w:rsidRPr="00B52E16">
        <w:rPr>
          <w:rFonts w:cs="Arial"/>
          <w:b/>
        </w:rPr>
        <w:t>Bod 10 Dotácia na sociálnu podporu študentov</w:t>
      </w:r>
    </w:p>
    <w:p w:rsidR="0004647E" w:rsidRPr="006E503B" w:rsidRDefault="00622373" w:rsidP="00622373">
      <w:pPr>
        <w:spacing w:after="0" w:line="240" w:lineRule="auto"/>
        <w:jc w:val="both"/>
        <w:rPr>
          <w:rFonts w:cs="Arial"/>
          <w:u w:val="single"/>
        </w:rPr>
      </w:pPr>
      <w:r w:rsidRPr="006E503B">
        <w:rPr>
          <w:rFonts w:cs="Arial"/>
          <w:u w:val="single"/>
        </w:rPr>
        <w:t>Predkladá: Prešovská univerzita v Prešove</w:t>
      </w:r>
    </w:p>
    <w:p w:rsidR="00622373" w:rsidRPr="006E503B" w:rsidRDefault="00622373" w:rsidP="00622373">
      <w:pPr>
        <w:spacing w:after="0" w:line="240" w:lineRule="auto"/>
        <w:jc w:val="both"/>
      </w:pPr>
      <w:r w:rsidRPr="006E503B">
        <w:lastRenderedPageBreak/>
        <w:t>Problematika sociálnej podpory študentov nie je ťažiskovou agendou vysokých škôl. Je žiaduce administráciu danej agendy preniesť na inštitúcie Ministerstva práce, sociálnych vecí a rodiny SR. Vysoká škola nemá mechanizmy na verifikáciu objektivity procesov a výstupov sociálnej podpory študentov, čo spolu s umelo zvyšovanými finančnými zdrojmi v daných položkách, ktoré nie sú príjmom vysokých škôl, môže vytvárať negatívne hodnotenia v očiach verejnosti.</w:t>
      </w:r>
    </w:p>
    <w:p w:rsidR="00F15FD3" w:rsidRPr="006E503B" w:rsidRDefault="00F15FD3" w:rsidP="00622373">
      <w:pPr>
        <w:spacing w:after="0" w:line="240" w:lineRule="auto"/>
        <w:jc w:val="both"/>
      </w:pPr>
    </w:p>
    <w:p w:rsidR="00F15FD3" w:rsidRPr="006E503B" w:rsidRDefault="00F15FD3" w:rsidP="00622373">
      <w:pPr>
        <w:spacing w:after="0" w:line="240" w:lineRule="auto"/>
        <w:jc w:val="both"/>
        <w:rPr>
          <w:u w:val="single"/>
        </w:rPr>
      </w:pPr>
      <w:r w:rsidRPr="006E503B">
        <w:rPr>
          <w:u w:val="single"/>
        </w:rPr>
        <w:t>Taktiež predkladá: Trnavská univerzita v Trnave</w:t>
      </w:r>
    </w:p>
    <w:p w:rsidR="00F15FD3" w:rsidRPr="006E503B" w:rsidRDefault="00F15FD3" w:rsidP="00622373">
      <w:pPr>
        <w:spacing w:after="0" w:line="240" w:lineRule="auto"/>
        <w:jc w:val="both"/>
      </w:pPr>
      <w:r w:rsidRPr="006E503B">
        <w:t xml:space="preserve">Príspevok na sociálne štipendiá študentov VVŠ navrhujeme preradiť z rozpočtu VVŠ do rozpočtu </w:t>
      </w:r>
      <w:proofErr w:type="spellStart"/>
      <w:r w:rsidRPr="006E503B">
        <w:t>MPSVaR</w:t>
      </w:r>
      <w:proofErr w:type="spellEnd"/>
      <w:r w:rsidRPr="006E503B">
        <w:t xml:space="preserve"> SR. Každoročne ide o 20-25 miliónov eur, ktoré umelo </w:t>
      </w:r>
      <w:proofErr w:type="spellStart"/>
      <w:r w:rsidRPr="006E503B">
        <w:t>navyšujú</w:t>
      </w:r>
      <w:proofErr w:type="spellEnd"/>
      <w:r w:rsidRPr="006E503B">
        <w:t xml:space="preserve"> rozpočet VVŠ.</w:t>
      </w:r>
    </w:p>
    <w:p w:rsidR="00622373" w:rsidRPr="006E503B" w:rsidRDefault="00622373" w:rsidP="00622373">
      <w:pPr>
        <w:spacing w:after="0" w:line="240" w:lineRule="auto"/>
        <w:jc w:val="both"/>
        <w:rPr>
          <w:rFonts w:cs="Arial"/>
        </w:rPr>
      </w:pPr>
    </w:p>
    <w:p w:rsidR="0004647E" w:rsidRPr="006E503B" w:rsidRDefault="00CD08E1" w:rsidP="00CD08E1">
      <w:pPr>
        <w:spacing w:after="0" w:line="240" w:lineRule="auto"/>
        <w:jc w:val="both"/>
        <w:rPr>
          <w:rFonts w:cs="Arial"/>
          <w:b/>
        </w:rPr>
      </w:pPr>
      <w:r w:rsidRPr="006E503B">
        <w:rPr>
          <w:rFonts w:cs="Arial"/>
          <w:b/>
        </w:rPr>
        <w:t xml:space="preserve">Bod </w:t>
      </w:r>
      <w:r w:rsidR="00EA1D03">
        <w:rPr>
          <w:rFonts w:cs="Arial"/>
          <w:b/>
        </w:rPr>
        <w:t>1</w:t>
      </w:r>
      <w:r w:rsidR="00B52E16">
        <w:rPr>
          <w:rFonts w:cs="Arial"/>
          <w:b/>
        </w:rPr>
        <w:t>1</w:t>
      </w:r>
      <w:r w:rsidR="00EA1D03">
        <w:rPr>
          <w:rFonts w:cs="Arial"/>
          <w:b/>
        </w:rPr>
        <w:t xml:space="preserve"> </w:t>
      </w:r>
      <w:r w:rsidR="0004647E" w:rsidRPr="006E503B">
        <w:rPr>
          <w:rFonts w:cs="Arial"/>
          <w:b/>
        </w:rPr>
        <w:t>Koeficienty pre študijné programy podľa § 53 ods. 3</w:t>
      </w:r>
    </w:p>
    <w:p w:rsidR="00CD08E1" w:rsidRPr="00EA1D03" w:rsidRDefault="00CD08E1" w:rsidP="00CD08E1">
      <w:pPr>
        <w:pStyle w:val="Bezriadkovania"/>
        <w:rPr>
          <w:u w:val="single"/>
        </w:rPr>
      </w:pPr>
      <w:r w:rsidRPr="00EA1D03">
        <w:rPr>
          <w:u w:val="single"/>
        </w:rPr>
        <w:t>Predkladá: Univerzita P. J. Šafárika v Košiciach</w:t>
      </w:r>
    </w:p>
    <w:p w:rsidR="00CD08E1" w:rsidRPr="006E503B" w:rsidRDefault="00CD08E1" w:rsidP="00CD08E1">
      <w:pPr>
        <w:spacing w:after="0" w:line="240" w:lineRule="auto"/>
        <w:jc w:val="both"/>
        <w:rPr>
          <w:rFonts w:cs="Arial"/>
          <w:b/>
        </w:rPr>
      </w:pPr>
    </w:p>
    <w:p w:rsidR="0004647E" w:rsidRPr="006E503B" w:rsidRDefault="0004647E" w:rsidP="00CD08E1">
      <w:pPr>
        <w:pStyle w:val="Odsekzoznamu"/>
        <w:spacing w:after="0" w:line="240" w:lineRule="auto"/>
        <w:ind w:left="0"/>
        <w:jc w:val="both"/>
        <w:rPr>
          <w:rFonts w:cs="Arial"/>
        </w:rPr>
      </w:pPr>
      <w:r w:rsidRPr="006E503B">
        <w:rPr>
          <w:rFonts w:cs="Arial"/>
        </w:rPr>
        <w:t xml:space="preserve">V metodike sa uvádza </w:t>
      </w:r>
      <w:r w:rsidRPr="006E503B">
        <w:rPr>
          <w:rFonts w:cs="Arial"/>
          <w:i/>
        </w:rPr>
        <w:t>„(21) Študenti v študijných programoch podľa § 53 ods. 3 zákona sa považujú za študentov študijného programu prvého stupňa, ak od roku začiatku ich štúdia neuplynuli štyri roky, inak sa považujú za študentov študijného programu druhého stupňa.“</w:t>
      </w:r>
      <w:r w:rsidRPr="006E503B">
        <w:rPr>
          <w:rFonts w:cs="Arial"/>
        </w:rPr>
        <w:t xml:space="preserve"> Pri päťročnom/šesťročnom štúdiu sa potom predpokladá, že študenti by mali byť štyri roky počítaní ako študenti prvého stupňa a posledný rok/dva roky ako študenti druhého stupňa. Aj výpočet v excelovskom súbore však za prvý stupeň považuje študentov iba prvých troch rokov štúdia. </w:t>
      </w:r>
    </w:p>
    <w:p w:rsidR="0004647E" w:rsidRPr="006E503B" w:rsidRDefault="0004647E" w:rsidP="0004647E">
      <w:pPr>
        <w:pStyle w:val="Odsekzoznamu"/>
        <w:spacing w:after="0" w:line="240" w:lineRule="auto"/>
        <w:ind w:left="0" w:firstLine="360"/>
        <w:jc w:val="both"/>
        <w:rPr>
          <w:rFonts w:cs="Arial"/>
        </w:rPr>
      </w:pPr>
    </w:p>
    <w:p w:rsidR="0004647E" w:rsidRPr="006E503B" w:rsidRDefault="0004647E" w:rsidP="00CD08E1">
      <w:pPr>
        <w:pStyle w:val="Odsekzoznamu"/>
        <w:spacing w:after="0" w:line="240" w:lineRule="auto"/>
        <w:ind w:left="0"/>
        <w:jc w:val="both"/>
        <w:rPr>
          <w:rFonts w:cs="Arial"/>
          <w:b/>
          <w:i/>
        </w:rPr>
      </w:pPr>
      <w:r w:rsidRPr="006E503B">
        <w:rPr>
          <w:rFonts w:cs="Arial"/>
          <w:b/>
          <w:i/>
        </w:rPr>
        <w:t>Návrh:</w:t>
      </w:r>
      <w:r w:rsidRPr="006E503B">
        <w:rPr>
          <w:rFonts w:cs="Arial"/>
          <w:i/>
        </w:rPr>
        <w:t xml:space="preserve"> </w:t>
      </w:r>
      <w:r w:rsidRPr="006E503B">
        <w:rPr>
          <w:rFonts w:cs="Arial"/>
          <w:b/>
          <w:i/>
        </w:rPr>
        <w:t>„(21) Študenti v študijných programoch podľa § 53 ods. 3 zákona sa považujú prvé tri roky štúdia za študentov študijného programu prvého stupňa, inak sa považujú za študentov študijného programu druhého stupňa.“</w:t>
      </w:r>
    </w:p>
    <w:p w:rsidR="0004647E" w:rsidRPr="00EA1D03" w:rsidRDefault="0004647E" w:rsidP="00EA1D03">
      <w:pPr>
        <w:spacing w:after="0" w:line="240" w:lineRule="auto"/>
        <w:jc w:val="both"/>
        <w:rPr>
          <w:rFonts w:cs="Arial"/>
        </w:rPr>
      </w:pPr>
    </w:p>
    <w:p w:rsidR="0004647E" w:rsidRPr="006E503B" w:rsidRDefault="00CD08E1" w:rsidP="00CD08E1">
      <w:pPr>
        <w:spacing w:after="0" w:line="240" w:lineRule="auto"/>
        <w:jc w:val="both"/>
        <w:rPr>
          <w:rFonts w:cs="Arial"/>
          <w:b/>
        </w:rPr>
      </w:pPr>
      <w:r w:rsidRPr="006E503B">
        <w:rPr>
          <w:rFonts w:cs="Arial"/>
          <w:b/>
        </w:rPr>
        <w:t xml:space="preserve">Bod </w:t>
      </w:r>
      <w:r w:rsidR="00B52E16">
        <w:rPr>
          <w:rFonts w:cs="Arial"/>
          <w:b/>
        </w:rPr>
        <w:t>12</w:t>
      </w:r>
      <w:r w:rsidR="00EA1D03">
        <w:rPr>
          <w:rFonts w:cs="Arial"/>
          <w:b/>
        </w:rPr>
        <w:t xml:space="preserve"> </w:t>
      </w:r>
      <w:r w:rsidR="0004647E" w:rsidRPr="006E503B">
        <w:rPr>
          <w:rFonts w:cs="Arial"/>
          <w:b/>
        </w:rPr>
        <w:t>Koeficient odboru pre skupinu 11 – Kanonické právo a</w:t>
      </w:r>
      <w:r w:rsidRPr="006E503B">
        <w:rPr>
          <w:rFonts w:cs="Arial"/>
          <w:b/>
        </w:rPr>
        <w:t> </w:t>
      </w:r>
      <w:r w:rsidR="0004647E" w:rsidRPr="006E503B">
        <w:rPr>
          <w:rFonts w:cs="Arial"/>
          <w:b/>
        </w:rPr>
        <w:t>právo</w:t>
      </w:r>
    </w:p>
    <w:p w:rsidR="00CD08E1" w:rsidRPr="006E503B" w:rsidRDefault="00CD08E1" w:rsidP="00CD08E1">
      <w:pPr>
        <w:pStyle w:val="Bezriadkovania"/>
        <w:rPr>
          <w:u w:val="single"/>
        </w:rPr>
      </w:pPr>
      <w:r w:rsidRPr="006E503B">
        <w:rPr>
          <w:u w:val="single"/>
        </w:rPr>
        <w:t>Predkladá: Univerzita P. J. Šafárika v Košiciach</w:t>
      </w:r>
    </w:p>
    <w:p w:rsidR="00CD08E1" w:rsidRPr="006E503B" w:rsidRDefault="0004647E" w:rsidP="00CD08E1">
      <w:pPr>
        <w:pStyle w:val="Odsekzoznamu"/>
        <w:spacing w:after="0" w:line="240" w:lineRule="auto"/>
        <w:ind w:left="0"/>
        <w:jc w:val="both"/>
        <w:rPr>
          <w:rFonts w:cs="Arial"/>
          <w:b/>
        </w:rPr>
      </w:pPr>
      <w:r w:rsidRPr="006E503B">
        <w:rPr>
          <w:rFonts w:cs="Arial"/>
        </w:rPr>
        <w:t>Pretrváva problém nízkeho koeficientu pre túto skupinu</w:t>
      </w:r>
      <w:r w:rsidRPr="006E503B">
        <w:rPr>
          <w:rFonts w:cs="Arial"/>
          <w:b/>
        </w:rPr>
        <w:t xml:space="preserve">. </w:t>
      </w:r>
    </w:p>
    <w:p w:rsidR="0004647E" w:rsidRPr="006E503B" w:rsidRDefault="00CD08E1" w:rsidP="00CD08E1">
      <w:pPr>
        <w:pStyle w:val="Odsekzoznamu"/>
        <w:spacing w:after="0" w:line="240" w:lineRule="auto"/>
        <w:ind w:left="0"/>
        <w:jc w:val="both"/>
        <w:rPr>
          <w:rFonts w:cs="Arial"/>
          <w:i/>
        </w:rPr>
      </w:pPr>
      <w:r w:rsidRPr="006E503B">
        <w:rPr>
          <w:rFonts w:cs="Arial"/>
          <w:b/>
          <w:i/>
        </w:rPr>
        <w:t xml:space="preserve">Návrh: </w:t>
      </w:r>
      <w:r w:rsidR="0004647E" w:rsidRPr="006E503B">
        <w:rPr>
          <w:rFonts w:cs="Arial"/>
          <w:b/>
          <w:i/>
        </w:rPr>
        <w:t>Navrhujeme upraviť koeficient pre túto skupinu minimálne na hodnotu 1,3.</w:t>
      </w:r>
      <w:r w:rsidR="0004647E" w:rsidRPr="006E503B">
        <w:rPr>
          <w:rFonts w:cs="Arial"/>
          <w:i/>
        </w:rPr>
        <w:t xml:space="preserve"> </w:t>
      </w:r>
    </w:p>
    <w:p w:rsidR="00634A3C" w:rsidRPr="006E503B" w:rsidRDefault="00634A3C" w:rsidP="0004647E">
      <w:pPr>
        <w:pStyle w:val="Bezriadkovania"/>
      </w:pPr>
    </w:p>
    <w:p w:rsidR="0004647E" w:rsidRPr="006E503B" w:rsidRDefault="00634A3C" w:rsidP="0004647E">
      <w:pPr>
        <w:pStyle w:val="Bezriadkovania"/>
        <w:rPr>
          <w:u w:val="single"/>
        </w:rPr>
      </w:pPr>
      <w:r w:rsidRPr="006E503B">
        <w:rPr>
          <w:u w:val="single"/>
        </w:rPr>
        <w:t>Taktiež predkladá: Trnavská univerzita v Trnave</w:t>
      </w:r>
    </w:p>
    <w:p w:rsidR="00634A3C" w:rsidRPr="006E503B" w:rsidRDefault="00634A3C" w:rsidP="0004647E">
      <w:pPr>
        <w:pStyle w:val="Bezriadkovania"/>
      </w:pPr>
      <w:r w:rsidRPr="006E503B">
        <w:t>Koeficient náročnosti ostal pre právo na úrovni 1, hoci SRK už viackrát žiadala o jeho navýšenie.</w:t>
      </w:r>
    </w:p>
    <w:p w:rsidR="00791D8D" w:rsidRPr="006E503B" w:rsidRDefault="00791D8D" w:rsidP="0004647E">
      <w:pPr>
        <w:pStyle w:val="Bezriadkovania"/>
      </w:pPr>
    </w:p>
    <w:p w:rsidR="00791D8D" w:rsidRPr="00EA1D03" w:rsidRDefault="00791D8D" w:rsidP="00791D8D">
      <w:pPr>
        <w:spacing w:after="0" w:line="240" w:lineRule="auto"/>
        <w:rPr>
          <w:b/>
        </w:rPr>
      </w:pPr>
      <w:r w:rsidRPr="00EA1D03">
        <w:rPr>
          <w:b/>
        </w:rPr>
        <w:t xml:space="preserve">Bod </w:t>
      </w:r>
      <w:r w:rsidR="00EA1D03" w:rsidRPr="00EA1D03">
        <w:rPr>
          <w:b/>
        </w:rPr>
        <w:t>1</w:t>
      </w:r>
      <w:r w:rsidR="00B52E16">
        <w:rPr>
          <w:b/>
        </w:rPr>
        <w:t>3</w:t>
      </w:r>
      <w:r w:rsidR="00EA1D03" w:rsidRPr="00EA1D03">
        <w:rPr>
          <w:b/>
        </w:rPr>
        <w:t xml:space="preserve"> </w:t>
      </w:r>
      <w:r w:rsidRPr="00EA1D03">
        <w:rPr>
          <w:b/>
        </w:rPr>
        <w:t>Príloha č. 1  - Zaradenie jednotlivých študijných odborov do skupín</w:t>
      </w:r>
    </w:p>
    <w:p w:rsidR="00791D8D" w:rsidRPr="006E503B" w:rsidRDefault="00791D8D" w:rsidP="0004647E">
      <w:pPr>
        <w:pStyle w:val="Bezriadkovania"/>
        <w:rPr>
          <w:u w:val="single"/>
        </w:rPr>
      </w:pPr>
      <w:r w:rsidRPr="006E503B">
        <w:rPr>
          <w:u w:val="single"/>
        </w:rPr>
        <w:t>Predkladá: Technická univerzita v Košiciach</w:t>
      </w:r>
    </w:p>
    <w:p w:rsidR="00791D8D" w:rsidRPr="006E503B" w:rsidRDefault="00791D8D" w:rsidP="006E503B">
      <w:pPr>
        <w:pStyle w:val="Bezriadkovania"/>
      </w:pPr>
      <w:r w:rsidRPr="006E503B">
        <w:t xml:space="preserve">V skupine 19 pre III. stupeň štúdia je uvedené </w:t>
      </w:r>
      <w:r w:rsidRPr="006E503B">
        <w:rPr>
          <w:b/>
        </w:rPr>
        <w:t>Hutníctvo kovov</w:t>
      </w:r>
      <w:r w:rsidRPr="006E503B">
        <w:t xml:space="preserve">, pričom v súčasnosti po komplexnej akreditácii je používaný zmenený názov:  </w:t>
      </w:r>
      <w:r w:rsidRPr="006E503B">
        <w:rPr>
          <w:b/>
        </w:rPr>
        <w:t>Hutníctvo.</w:t>
      </w:r>
    </w:p>
    <w:p w:rsidR="006E503B" w:rsidRPr="006E503B" w:rsidRDefault="006E503B" w:rsidP="006E503B">
      <w:pPr>
        <w:pStyle w:val="Bezriadkovania"/>
      </w:pPr>
    </w:p>
    <w:p w:rsidR="00791D8D" w:rsidRDefault="006E503B" w:rsidP="006E503B">
      <w:pPr>
        <w:pStyle w:val="Bezriadkovania"/>
        <w:rPr>
          <w:b/>
        </w:rPr>
      </w:pPr>
      <w:r w:rsidRPr="00EA1D03">
        <w:rPr>
          <w:b/>
        </w:rPr>
        <w:t xml:space="preserve">Bod </w:t>
      </w:r>
      <w:r w:rsidR="00B52E16">
        <w:rPr>
          <w:b/>
        </w:rPr>
        <w:t xml:space="preserve">14 </w:t>
      </w:r>
      <w:bookmarkStart w:id="0" w:name="_GoBack"/>
      <w:bookmarkEnd w:id="0"/>
      <w:r w:rsidRPr="00EA1D03">
        <w:rPr>
          <w:b/>
        </w:rPr>
        <w:t>Tab. 5b-študenti</w:t>
      </w:r>
    </w:p>
    <w:p w:rsidR="00EA1D03" w:rsidRPr="006E503B" w:rsidRDefault="00EA1D03" w:rsidP="00EA1D03">
      <w:pPr>
        <w:spacing w:after="0" w:line="240" w:lineRule="auto"/>
        <w:jc w:val="both"/>
        <w:rPr>
          <w:rFonts w:cs="Arial"/>
          <w:u w:val="single"/>
        </w:rPr>
      </w:pPr>
      <w:r w:rsidRPr="006E503B">
        <w:rPr>
          <w:rFonts w:cs="Arial"/>
          <w:u w:val="single"/>
        </w:rPr>
        <w:t>Predkladá Univerzita sv. Cyrila a Metoda v Trnave</w:t>
      </w:r>
    </w:p>
    <w:p w:rsidR="006E503B" w:rsidRPr="006E503B" w:rsidRDefault="006E503B" w:rsidP="006E503B">
      <w:pPr>
        <w:pStyle w:val="Bezriadkovania"/>
        <w:numPr>
          <w:ilvl w:val="0"/>
          <w:numId w:val="7"/>
        </w:numPr>
      </w:pPr>
      <w:r w:rsidRPr="006E503B">
        <w:t>nesúlad údajov v Tab.5b - študenti - UCM Fakulta prírodných vied - základ pre motivačné odborové štipendium nie je uvedený počet študentov pri študijných odboroch:</w:t>
      </w:r>
    </w:p>
    <w:tbl>
      <w:tblPr>
        <w:tblW w:w="7100" w:type="dxa"/>
        <w:tblInd w:w="983" w:type="dxa"/>
        <w:tblCellMar>
          <w:left w:w="70" w:type="dxa"/>
          <w:right w:w="70" w:type="dxa"/>
        </w:tblCellMar>
        <w:tblLook w:val="04A0" w:firstRow="1" w:lastRow="0" w:firstColumn="1" w:lastColumn="0" w:noHBand="0" w:noVBand="1"/>
      </w:tblPr>
      <w:tblGrid>
        <w:gridCol w:w="3780"/>
        <w:gridCol w:w="1660"/>
        <w:gridCol w:w="1660"/>
      </w:tblGrid>
      <w:tr w:rsidR="006E503B" w:rsidRPr="006E503B" w:rsidTr="008A41DE">
        <w:trPr>
          <w:trHeight w:val="6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03B" w:rsidRPr="006E503B" w:rsidRDefault="006E503B" w:rsidP="008A41DE">
            <w:pPr>
              <w:spacing w:after="0" w:line="240" w:lineRule="auto"/>
              <w:jc w:val="center"/>
              <w:rPr>
                <w:rFonts w:eastAsia="Times New Roman"/>
                <w:b/>
                <w:bCs/>
                <w:lang w:eastAsia="sk-SK"/>
              </w:rPr>
            </w:pPr>
            <w:r w:rsidRPr="006E503B">
              <w:rPr>
                <w:rFonts w:eastAsia="Times New Roman"/>
                <w:b/>
                <w:bCs/>
                <w:lang w:eastAsia="sk-SK"/>
              </w:rPr>
              <w:t>počet študentov</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E503B" w:rsidRPr="006E503B" w:rsidRDefault="006E503B" w:rsidP="008A41DE">
            <w:pPr>
              <w:spacing w:after="0" w:line="240" w:lineRule="auto"/>
              <w:jc w:val="center"/>
              <w:rPr>
                <w:rFonts w:eastAsia="Times New Roman"/>
                <w:b/>
                <w:bCs/>
                <w:lang w:eastAsia="sk-SK"/>
              </w:rPr>
            </w:pPr>
            <w:r w:rsidRPr="006E503B">
              <w:rPr>
                <w:rFonts w:eastAsia="Times New Roman"/>
                <w:b/>
                <w:bCs/>
                <w:lang w:eastAsia="sk-SK"/>
              </w:rPr>
              <w:t>pôvodné údaje v rozpise dotácie</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E503B" w:rsidRPr="006E503B" w:rsidRDefault="006E503B" w:rsidP="008A41DE">
            <w:pPr>
              <w:spacing w:after="0" w:line="240" w:lineRule="auto"/>
              <w:jc w:val="center"/>
              <w:rPr>
                <w:rFonts w:eastAsia="Times New Roman"/>
                <w:b/>
                <w:bCs/>
                <w:lang w:eastAsia="sk-SK"/>
              </w:rPr>
            </w:pPr>
            <w:r w:rsidRPr="006E503B">
              <w:rPr>
                <w:rFonts w:eastAsia="Times New Roman"/>
                <w:b/>
                <w:bCs/>
                <w:lang w:eastAsia="sk-SK"/>
              </w:rPr>
              <w:t>správne údaje</w:t>
            </w:r>
          </w:p>
        </w:tc>
      </w:tr>
      <w:tr w:rsidR="006E503B" w:rsidRPr="006E503B" w:rsidTr="008A41DE">
        <w:trPr>
          <w:trHeight w:val="600"/>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E503B" w:rsidRPr="006E503B" w:rsidRDefault="006E503B" w:rsidP="008A41DE">
            <w:pPr>
              <w:spacing w:after="0" w:line="240" w:lineRule="auto"/>
              <w:rPr>
                <w:rFonts w:eastAsia="Times New Roman"/>
                <w:b/>
                <w:bCs/>
                <w:lang w:eastAsia="sk-SK"/>
              </w:rPr>
            </w:pPr>
            <w:r w:rsidRPr="006E503B">
              <w:rPr>
                <w:rFonts w:eastAsia="Times New Roman"/>
                <w:b/>
                <w:bCs/>
                <w:lang w:eastAsia="sk-SK"/>
              </w:rPr>
              <w:t>chémia a aplikovaná chémia (17196, 1420715)</w:t>
            </w:r>
          </w:p>
        </w:tc>
        <w:tc>
          <w:tcPr>
            <w:tcW w:w="1660" w:type="dxa"/>
            <w:tcBorders>
              <w:top w:val="nil"/>
              <w:left w:val="nil"/>
              <w:bottom w:val="single" w:sz="4" w:space="0" w:color="auto"/>
              <w:right w:val="single" w:sz="4" w:space="0" w:color="auto"/>
            </w:tcBorders>
            <w:shd w:val="clear" w:color="auto" w:fill="auto"/>
            <w:noWrap/>
            <w:vAlign w:val="center"/>
            <w:hideMark/>
          </w:tcPr>
          <w:p w:rsidR="006E503B" w:rsidRPr="006E503B" w:rsidRDefault="006E503B" w:rsidP="008A41DE">
            <w:pPr>
              <w:spacing w:after="0" w:line="240" w:lineRule="auto"/>
              <w:jc w:val="center"/>
              <w:rPr>
                <w:rFonts w:eastAsia="Times New Roman"/>
                <w:lang w:eastAsia="sk-SK"/>
              </w:rPr>
            </w:pPr>
            <w:r w:rsidRPr="006E503B">
              <w:rPr>
                <w:rFonts w:eastAsia="Times New Roman"/>
                <w:lang w:eastAsia="sk-SK"/>
              </w:rPr>
              <w:t>0</w:t>
            </w:r>
          </w:p>
        </w:tc>
        <w:tc>
          <w:tcPr>
            <w:tcW w:w="1660" w:type="dxa"/>
            <w:tcBorders>
              <w:top w:val="nil"/>
              <w:left w:val="nil"/>
              <w:bottom w:val="single" w:sz="4" w:space="0" w:color="auto"/>
              <w:right w:val="single" w:sz="4" w:space="0" w:color="auto"/>
            </w:tcBorders>
            <w:shd w:val="clear" w:color="auto" w:fill="auto"/>
            <w:noWrap/>
            <w:vAlign w:val="center"/>
            <w:hideMark/>
          </w:tcPr>
          <w:p w:rsidR="006E503B" w:rsidRPr="006E503B" w:rsidRDefault="006E503B" w:rsidP="008A41DE">
            <w:pPr>
              <w:spacing w:after="0" w:line="240" w:lineRule="auto"/>
              <w:jc w:val="center"/>
              <w:rPr>
                <w:rFonts w:eastAsia="Times New Roman"/>
                <w:lang w:eastAsia="sk-SK"/>
              </w:rPr>
            </w:pPr>
            <w:r w:rsidRPr="006E503B">
              <w:rPr>
                <w:rFonts w:eastAsia="Times New Roman"/>
                <w:lang w:eastAsia="sk-SK"/>
              </w:rPr>
              <w:t>32</w:t>
            </w:r>
          </w:p>
        </w:tc>
      </w:tr>
      <w:tr w:rsidR="006E503B" w:rsidRPr="006E503B" w:rsidTr="008A41DE">
        <w:trPr>
          <w:trHeight w:val="600"/>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E503B" w:rsidRPr="006E503B" w:rsidRDefault="006E503B" w:rsidP="008A41DE">
            <w:pPr>
              <w:spacing w:after="0" w:line="240" w:lineRule="auto"/>
              <w:rPr>
                <w:rFonts w:eastAsia="Times New Roman"/>
                <w:b/>
                <w:bCs/>
                <w:lang w:eastAsia="sk-SK"/>
              </w:rPr>
            </w:pPr>
            <w:r w:rsidRPr="006E503B">
              <w:rPr>
                <w:rFonts w:eastAsia="Times New Roman"/>
                <w:b/>
                <w:bCs/>
                <w:lang w:eastAsia="sk-SK"/>
              </w:rPr>
              <w:t xml:space="preserve"> aplikovaná chémia a biochémia (100680, 1420820) </w:t>
            </w:r>
          </w:p>
        </w:tc>
        <w:tc>
          <w:tcPr>
            <w:tcW w:w="1660" w:type="dxa"/>
            <w:tcBorders>
              <w:top w:val="nil"/>
              <w:left w:val="nil"/>
              <w:bottom w:val="single" w:sz="4" w:space="0" w:color="auto"/>
              <w:right w:val="single" w:sz="4" w:space="0" w:color="auto"/>
            </w:tcBorders>
            <w:shd w:val="clear" w:color="auto" w:fill="auto"/>
            <w:noWrap/>
            <w:vAlign w:val="center"/>
            <w:hideMark/>
          </w:tcPr>
          <w:p w:rsidR="006E503B" w:rsidRPr="006E503B" w:rsidRDefault="006E503B" w:rsidP="008A41DE">
            <w:pPr>
              <w:spacing w:after="0" w:line="240" w:lineRule="auto"/>
              <w:jc w:val="center"/>
              <w:rPr>
                <w:rFonts w:eastAsia="Times New Roman"/>
                <w:lang w:eastAsia="sk-SK"/>
              </w:rPr>
            </w:pPr>
            <w:r w:rsidRPr="006E503B">
              <w:rPr>
                <w:rFonts w:eastAsia="Times New Roman"/>
                <w:lang w:eastAsia="sk-SK"/>
              </w:rPr>
              <w:t>0</w:t>
            </w:r>
          </w:p>
        </w:tc>
        <w:tc>
          <w:tcPr>
            <w:tcW w:w="1660" w:type="dxa"/>
            <w:tcBorders>
              <w:top w:val="nil"/>
              <w:left w:val="nil"/>
              <w:bottom w:val="single" w:sz="4" w:space="0" w:color="auto"/>
              <w:right w:val="single" w:sz="4" w:space="0" w:color="auto"/>
            </w:tcBorders>
            <w:shd w:val="clear" w:color="auto" w:fill="auto"/>
            <w:noWrap/>
            <w:vAlign w:val="center"/>
            <w:hideMark/>
          </w:tcPr>
          <w:p w:rsidR="006E503B" w:rsidRPr="006E503B" w:rsidRDefault="006E503B" w:rsidP="008A41DE">
            <w:pPr>
              <w:spacing w:after="0" w:line="240" w:lineRule="auto"/>
              <w:jc w:val="center"/>
              <w:rPr>
                <w:rFonts w:eastAsia="Times New Roman"/>
                <w:lang w:eastAsia="sk-SK"/>
              </w:rPr>
            </w:pPr>
            <w:r w:rsidRPr="006E503B">
              <w:rPr>
                <w:rFonts w:eastAsia="Times New Roman"/>
                <w:lang w:eastAsia="sk-SK"/>
              </w:rPr>
              <w:t>28</w:t>
            </w:r>
          </w:p>
        </w:tc>
      </w:tr>
    </w:tbl>
    <w:p w:rsidR="00B701F0" w:rsidRDefault="00B701F0" w:rsidP="0004647E">
      <w:pPr>
        <w:pStyle w:val="Bezriadkovania"/>
      </w:pPr>
    </w:p>
    <w:p w:rsidR="00791D8D" w:rsidRPr="006E503B" w:rsidRDefault="00B701F0" w:rsidP="0004647E">
      <w:pPr>
        <w:pStyle w:val="Bezriadkovania"/>
      </w:pPr>
      <w:r>
        <w:t>V Bratislave, 1.12.2015</w:t>
      </w:r>
    </w:p>
    <w:sectPr w:rsidR="00791D8D" w:rsidRPr="006E50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4BF" w:rsidRDefault="003734BF" w:rsidP="0004647E">
      <w:pPr>
        <w:spacing w:after="0" w:line="240" w:lineRule="auto"/>
      </w:pPr>
      <w:r>
        <w:separator/>
      </w:r>
    </w:p>
  </w:endnote>
  <w:endnote w:type="continuationSeparator" w:id="0">
    <w:p w:rsidR="003734BF" w:rsidRDefault="003734BF" w:rsidP="0004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527248"/>
      <w:docPartObj>
        <w:docPartGallery w:val="Page Numbers (Bottom of Page)"/>
        <w:docPartUnique/>
      </w:docPartObj>
    </w:sdtPr>
    <w:sdtEndPr/>
    <w:sdtContent>
      <w:p w:rsidR="0004647E" w:rsidRDefault="0004647E">
        <w:pPr>
          <w:pStyle w:val="Pta"/>
          <w:jc w:val="center"/>
        </w:pPr>
        <w:r>
          <w:fldChar w:fldCharType="begin"/>
        </w:r>
        <w:r>
          <w:instrText>PAGE   \* MERGEFORMAT</w:instrText>
        </w:r>
        <w:r>
          <w:fldChar w:fldCharType="separate"/>
        </w:r>
        <w:r w:rsidR="00B52E16">
          <w:rPr>
            <w:noProof/>
          </w:rPr>
          <w:t>6</w:t>
        </w:r>
        <w:r>
          <w:fldChar w:fldCharType="end"/>
        </w:r>
      </w:p>
    </w:sdtContent>
  </w:sdt>
  <w:p w:rsidR="0004647E" w:rsidRDefault="0004647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4BF" w:rsidRDefault="003734BF" w:rsidP="0004647E">
      <w:pPr>
        <w:spacing w:after="0" w:line="240" w:lineRule="auto"/>
      </w:pPr>
      <w:r>
        <w:separator/>
      </w:r>
    </w:p>
  </w:footnote>
  <w:footnote w:type="continuationSeparator" w:id="0">
    <w:p w:rsidR="003734BF" w:rsidRDefault="003734BF" w:rsidP="000464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499"/>
    <w:multiLevelType w:val="hybridMultilevel"/>
    <w:tmpl w:val="C0FE41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nsid w:val="03852775"/>
    <w:multiLevelType w:val="hybridMultilevel"/>
    <w:tmpl w:val="DECA6AA8"/>
    <w:lvl w:ilvl="0" w:tplc="84089550">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91E28E2"/>
    <w:multiLevelType w:val="hybridMultilevel"/>
    <w:tmpl w:val="648CBC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007473A"/>
    <w:multiLevelType w:val="hybridMultilevel"/>
    <w:tmpl w:val="3962D5D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4ED50426"/>
    <w:multiLevelType w:val="hybridMultilevel"/>
    <w:tmpl w:val="30C09438"/>
    <w:lvl w:ilvl="0" w:tplc="E6BEBD78">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517C44C1"/>
    <w:multiLevelType w:val="hybridMultilevel"/>
    <w:tmpl w:val="85DE048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5CB12FAA"/>
    <w:multiLevelType w:val="hybridMultilevel"/>
    <w:tmpl w:val="D1A09A6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62965FD6"/>
    <w:multiLevelType w:val="hybridMultilevel"/>
    <w:tmpl w:val="6C80DEC0"/>
    <w:lvl w:ilvl="0" w:tplc="79100014">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6702600"/>
    <w:multiLevelType w:val="hybridMultilevel"/>
    <w:tmpl w:val="AACAAD1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5"/>
  </w:num>
  <w:num w:numId="6">
    <w:abstractNumId w:val="2"/>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2F7"/>
    <w:rsid w:val="0004647E"/>
    <w:rsid w:val="00183A73"/>
    <w:rsid w:val="001E2E31"/>
    <w:rsid w:val="00212A17"/>
    <w:rsid w:val="002C114A"/>
    <w:rsid w:val="002E607C"/>
    <w:rsid w:val="002F377D"/>
    <w:rsid w:val="003734BF"/>
    <w:rsid w:val="004D78FE"/>
    <w:rsid w:val="00542745"/>
    <w:rsid w:val="00622373"/>
    <w:rsid w:val="00634A3C"/>
    <w:rsid w:val="00670CD0"/>
    <w:rsid w:val="006E503B"/>
    <w:rsid w:val="006F13BB"/>
    <w:rsid w:val="007412F7"/>
    <w:rsid w:val="007434AC"/>
    <w:rsid w:val="00791D8D"/>
    <w:rsid w:val="007D1841"/>
    <w:rsid w:val="008B1B8D"/>
    <w:rsid w:val="009227AE"/>
    <w:rsid w:val="00AB7AE9"/>
    <w:rsid w:val="00B52E16"/>
    <w:rsid w:val="00B701F0"/>
    <w:rsid w:val="00CC2573"/>
    <w:rsid w:val="00CD08E1"/>
    <w:rsid w:val="00DF0CB2"/>
    <w:rsid w:val="00E45F2A"/>
    <w:rsid w:val="00E675B7"/>
    <w:rsid w:val="00EA1D03"/>
    <w:rsid w:val="00F15FD3"/>
    <w:rsid w:val="00F34CF1"/>
    <w:rsid w:val="00FA7A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color w:val="000000"/>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4647E"/>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04647E"/>
    <w:pPr>
      <w:spacing w:after="0" w:line="240" w:lineRule="auto"/>
    </w:pPr>
  </w:style>
  <w:style w:type="paragraph" w:styleId="Odsekzoznamu">
    <w:name w:val="List Paragraph"/>
    <w:basedOn w:val="Normlny"/>
    <w:uiPriority w:val="34"/>
    <w:qFormat/>
    <w:rsid w:val="0004647E"/>
    <w:pPr>
      <w:ind w:left="720"/>
      <w:contextualSpacing/>
    </w:pPr>
  </w:style>
  <w:style w:type="paragraph" w:styleId="Hlavika">
    <w:name w:val="header"/>
    <w:basedOn w:val="Normlny"/>
    <w:link w:val="HlavikaChar"/>
    <w:uiPriority w:val="99"/>
    <w:unhideWhenUsed/>
    <w:rsid w:val="0004647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4647E"/>
  </w:style>
  <w:style w:type="paragraph" w:styleId="Pta">
    <w:name w:val="footer"/>
    <w:basedOn w:val="Normlny"/>
    <w:link w:val="PtaChar"/>
    <w:uiPriority w:val="99"/>
    <w:unhideWhenUsed/>
    <w:rsid w:val="0004647E"/>
    <w:pPr>
      <w:tabs>
        <w:tab w:val="center" w:pos="4536"/>
        <w:tab w:val="right" w:pos="9072"/>
      </w:tabs>
      <w:spacing w:after="0" w:line="240" w:lineRule="auto"/>
    </w:pPr>
  </w:style>
  <w:style w:type="character" w:customStyle="1" w:styleId="PtaChar">
    <w:name w:val="Päta Char"/>
    <w:basedOn w:val="Predvolenpsmoodseku"/>
    <w:link w:val="Pta"/>
    <w:uiPriority w:val="99"/>
    <w:rsid w:val="0004647E"/>
  </w:style>
  <w:style w:type="paragraph" w:customStyle="1" w:styleId="Default">
    <w:name w:val="Default"/>
    <w:rsid w:val="00CD08E1"/>
    <w:pPr>
      <w:autoSpaceDE w:val="0"/>
      <w:autoSpaceDN w:val="0"/>
      <w:adjustRightInd w:val="0"/>
      <w:spacing w:after="0" w:line="240" w:lineRule="auto"/>
    </w:pPr>
    <w:rPr>
      <w:rFonts w:ascii="Times New Roman" w:hAnsi="Times New Roman"/>
      <w:sz w:val="24"/>
      <w:szCs w:val="24"/>
    </w:rPr>
  </w:style>
  <w:style w:type="table" w:styleId="Mriekatabuky">
    <w:name w:val="Table Grid"/>
    <w:basedOn w:val="Normlnatabuka"/>
    <w:uiPriority w:val="59"/>
    <w:rsid w:val="00EA1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color w:val="000000"/>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4647E"/>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04647E"/>
    <w:pPr>
      <w:spacing w:after="0" w:line="240" w:lineRule="auto"/>
    </w:pPr>
  </w:style>
  <w:style w:type="paragraph" w:styleId="Odsekzoznamu">
    <w:name w:val="List Paragraph"/>
    <w:basedOn w:val="Normlny"/>
    <w:uiPriority w:val="34"/>
    <w:qFormat/>
    <w:rsid w:val="0004647E"/>
    <w:pPr>
      <w:ind w:left="720"/>
      <w:contextualSpacing/>
    </w:pPr>
  </w:style>
  <w:style w:type="paragraph" w:styleId="Hlavika">
    <w:name w:val="header"/>
    <w:basedOn w:val="Normlny"/>
    <w:link w:val="HlavikaChar"/>
    <w:uiPriority w:val="99"/>
    <w:unhideWhenUsed/>
    <w:rsid w:val="0004647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4647E"/>
  </w:style>
  <w:style w:type="paragraph" w:styleId="Pta">
    <w:name w:val="footer"/>
    <w:basedOn w:val="Normlny"/>
    <w:link w:val="PtaChar"/>
    <w:uiPriority w:val="99"/>
    <w:unhideWhenUsed/>
    <w:rsid w:val="0004647E"/>
    <w:pPr>
      <w:tabs>
        <w:tab w:val="center" w:pos="4536"/>
        <w:tab w:val="right" w:pos="9072"/>
      </w:tabs>
      <w:spacing w:after="0" w:line="240" w:lineRule="auto"/>
    </w:pPr>
  </w:style>
  <w:style w:type="character" w:customStyle="1" w:styleId="PtaChar">
    <w:name w:val="Päta Char"/>
    <w:basedOn w:val="Predvolenpsmoodseku"/>
    <w:link w:val="Pta"/>
    <w:uiPriority w:val="99"/>
    <w:rsid w:val="0004647E"/>
  </w:style>
  <w:style w:type="paragraph" w:customStyle="1" w:styleId="Default">
    <w:name w:val="Default"/>
    <w:rsid w:val="00CD08E1"/>
    <w:pPr>
      <w:autoSpaceDE w:val="0"/>
      <w:autoSpaceDN w:val="0"/>
      <w:adjustRightInd w:val="0"/>
      <w:spacing w:after="0" w:line="240" w:lineRule="auto"/>
    </w:pPr>
    <w:rPr>
      <w:rFonts w:ascii="Times New Roman" w:hAnsi="Times New Roman"/>
      <w:sz w:val="24"/>
      <w:szCs w:val="24"/>
    </w:rPr>
  </w:style>
  <w:style w:type="table" w:styleId="Mriekatabuky">
    <w:name w:val="Table Grid"/>
    <w:basedOn w:val="Normlnatabuka"/>
    <w:uiPriority w:val="59"/>
    <w:rsid w:val="00EA1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2442</Words>
  <Characters>13923</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SRK</Company>
  <LinksUpToDate>false</LinksUpToDate>
  <CharactersWithSpaces>16333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Cikesova</dc:creator>
  <cp:lastModifiedBy>Čikešová</cp:lastModifiedBy>
  <cp:revision>2</cp:revision>
  <cp:lastPrinted>2015-12-02T06:52:00Z</cp:lastPrinted>
  <dcterms:created xsi:type="dcterms:W3CDTF">2015-12-02T07:53:00Z</dcterms:created>
  <dcterms:modified xsi:type="dcterms:W3CDTF">2015-12-02T07:53:00Z</dcterms:modified>
</cp:coreProperties>
</file>